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bookmarkStart w:id="0" w:name="_GoBack"/>
      <w:r>
        <w:rPr>
          <w:rFonts w:hint="eastAsia" w:ascii="黑体" w:hAnsi="黑体" w:eastAsia="黑体"/>
          <w:b/>
          <w:bCs/>
          <w:sz w:val="28"/>
          <w:szCs w:val="28"/>
        </w:rPr>
        <w:t>兴银理财【天天万利宝稳利】净值型理财产品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bCs/>
          <w:sz w:val="18"/>
          <w:szCs w:val="18"/>
        </w:rPr>
        <w:t>兴业银行天天万利宝稳利2号净值型理财产品I款</w:t>
      </w:r>
      <w:r>
        <w:rPr>
          <w:rFonts w:hint="eastAsia" w:ascii="宋体" w:hAnsi="宋体" w:cs="仿宋_GB2312"/>
          <w:kern w:val="0"/>
          <w:sz w:val="18"/>
          <w:szCs w:val="18"/>
        </w:rPr>
        <w:t>】。</w:t>
      </w:r>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r>
        <w:rPr>
          <w:rFonts w:hint="eastAsia" w:asciiTheme="majorEastAsia" w:hAnsiTheme="majorEastAsia" w:eastAsiaTheme="majorEastAsia"/>
          <w:bCs/>
          <w:kern w:val="0"/>
          <w:sz w:val="18"/>
          <w:szCs w:val="18"/>
        </w:rPr>
        <w:t>【</w:t>
      </w:r>
      <w:r>
        <w:rPr>
          <w:rFonts w:hint="eastAsia" w:ascii="宋体" w:hAnsi="宋体"/>
          <w:bCs/>
          <w:sz w:val="18"/>
          <w:szCs w:val="18"/>
        </w:rPr>
        <w:t>稳利恒盈</w:t>
      </w:r>
      <w:r>
        <w:rPr>
          <w:rFonts w:ascii="宋体" w:hAnsi="宋体"/>
          <w:bCs/>
          <w:sz w:val="18"/>
          <w:szCs w:val="18"/>
        </w:rPr>
        <w:t>I</w:t>
      </w:r>
      <w:r>
        <w:rPr>
          <w:rFonts w:hint="eastAsia" w:ascii="宋体" w:hAnsi="宋体"/>
          <w:bCs/>
          <w:sz w:val="18"/>
          <w:szCs w:val="18"/>
        </w:rPr>
        <w:t xml:space="preserve"> 6个月</w:t>
      </w:r>
      <w:r>
        <w:rPr>
          <w:rFonts w:hint="eastAsia" w:asciiTheme="majorEastAsia" w:hAnsiTheme="majorEastAsia" w:eastAsiaTheme="majorEastAsia"/>
          <w:bCs/>
          <w:kern w:val="0"/>
          <w:sz w:val="18"/>
          <w:szCs w:val="18"/>
        </w:rPr>
        <w:t>】</w:t>
      </w:r>
      <w:r>
        <w:rPr>
          <w:rFonts w:hint="eastAsia" w:ascii="宋体" w:hAnsi="宋体" w:cs="仿宋_GB2312"/>
          <w:kern w:val="0"/>
          <w:sz w:val="18"/>
          <w:szCs w:val="18"/>
        </w:rPr>
        <w:t>。</w:t>
      </w:r>
    </w:p>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r>
        <w:rPr>
          <w:rFonts w:ascii="宋体" w:hAnsi="宋体"/>
          <w:bCs/>
          <w:sz w:val="18"/>
          <w:szCs w:val="18"/>
        </w:rPr>
        <w:t>Z7002020000026</w:t>
      </w:r>
      <w:r>
        <w:rPr>
          <w:rFonts w:hint="eastAsia" w:ascii="宋体" w:hAnsi="宋体" w:cs="仿宋_GB2312"/>
          <w:kern w:val="0"/>
          <w:sz w:val="18"/>
          <w:szCs w:val="18"/>
        </w:rPr>
        <w:t>】。</w:t>
      </w:r>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538" w:firstLineChars="299"/>
        <w:rPr>
          <w:rFonts w:ascii="宋体" w:hAnsi="宋体" w:cs="仿宋_GB2312"/>
          <w:kern w:val="0"/>
          <w:sz w:val="18"/>
          <w:szCs w:val="18"/>
        </w:rPr>
      </w:pPr>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r>
        <w:rPr>
          <w:rFonts w:hint="eastAsia" w:ascii="宋体" w:hAnsi="宋体" w:cs="仿宋_GB2312"/>
          <w:kern w:val="0"/>
          <w:sz w:val="18"/>
          <w:szCs w:val="18"/>
        </w:rPr>
        <w:t>【无固定</w:t>
      </w:r>
      <w:r>
        <w:rPr>
          <w:rFonts w:ascii="宋体" w:hAnsi="宋体" w:cs="仿宋_GB2312"/>
          <w:kern w:val="0"/>
          <w:sz w:val="18"/>
          <w:szCs w:val="18"/>
        </w:rPr>
        <w:t>期限</w:t>
      </w:r>
      <w:r>
        <w:rPr>
          <w:rFonts w:hint="eastAsia" w:ascii="宋体" w:hAnsi="宋体" w:cs="仿宋_GB2312"/>
          <w:kern w:val="0"/>
          <w:sz w:val="18"/>
          <w:szCs w:val="18"/>
        </w:rPr>
        <w:t>】</w:t>
      </w:r>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r>
        <w:rPr>
          <w:rFonts w:asciiTheme="majorEastAsia" w:hAnsiTheme="majorEastAsia" w:eastAsiaTheme="majorEastAsia"/>
          <w:bCs/>
          <w:color w:val="000000" w:themeColor="text1"/>
          <w:sz w:val="18"/>
          <w:szCs w:val="18"/>
        </w:rPr>
        <w:t>R2</w:t>
      </w:r>
      <w:r>
        <w:rPr>
          <w:rFonts w:ascii="宋体" w:hAnsi="宋体" w:cs="仿宋_GB2312"/>
          <w:kern w:val="0"/>
          <w:sz w:val="18"/>
          <w:szCs w:val="18"/>
        </w:rPr>
        <w:t>】</w:t>
      </w:r>
      <w:r>
        <w:rPr>
          <w:rFonts w:hint="eastAsia" w:ascii="宋体" w:hAnsi="宋体" w:cs="仿宋_GB2312"/>
          <w:kern w:val="0"/>
          <w:sz w:val="18"/>
          <w:szCs w:val="18"/>
        </w:rPr>
        <w:t>（产品管理人定义的产品风险评级为【</w:t>
      </w:r>
      <w:r>
        <w:rPr>
          <w:rFonts w:asciiTheme="majorEastAsia" w:hAnsiTheme="majorEastAsia" w:eastAsiaTheme="majorEastAsia"/>
          <w:bCs/>
          <w:color w:val="000000" w:themeColor="text1"/>
          <w:sz w:val="18"/>
          <w:szCs w:val="18"/>
        </w:rPr>
        <w:t>R2</w:t>
      </w:r>
      <w:r>
        <w:rPr>
          <w:rFonts w:ascii="宋体" w:hAnsi="宋体" w:cs="仿宋_GB2312"/>
          <w:kern w:val="0"/>
          <w:sz w:val="18"/>
          <w:szCs w:val="18"/>
        </w:rPr>
        <w:t>】</w:t>
      </w:r>
      <w:r>
        <w:rPr>
          <w:rFonts w:hint="eastAsia" w:ascii="宋体" w:hAnsi="宋体" w:cs="仿宋_GB2312"/>
          <w:kern w:val="0"/>
          <w:sz w:val="18"/>
          <w:szCs w:val="18"/>
        </w:rPr>
        <w:t>；代理销售机构定义的产品风险评级为【</w:t>
      </w:r>
      <w:r>
        <w:rPr>
          <w:rFonts w:asciiTheme="majorEastAsia" w:hAnsiTheme="majorEastAsia" w:eastAsiaTheme="majorEastAsia"/>
          <w:bCs/>
          <w:color w:val="000000" w:themeColor="text1"/>
          <w:sz w:val="18"/>
          <w:szCs w:val="18"/>
        </w:rPr>
        <w:t>R2</w:t>
      </w:r>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rPr>
        <w:t>销售机构认为本产品适合以下投资者类型：</w:t>
      </w:r>
    </w:p>
    <w:p>
      <w:pPr>
        <w:ind w:firstLine="360" w:firstLineChars="200"/>
        <w:rPr>
          <w:rFonts w:asciiTheme="majorEastAsia" w:hAnsiTheme="majorEastAsia" w:eastAsiaTheme="majorEastAsia"/>
          <w:bCs/>
          <w:color w:val="000000" w:themeColor="text1"/>
          <w:sz w:val="18"/>
          <w:szCs w:val="18"/>
        </w:rPr>
      </w:pPr>
      <w:r>
        <w:rPr>
          <w:rFonts w:hint="eastAsia" w:asciiTheme="majorEastAsia" w:hAnsiTheme="majorEastAsia" w:eastAsiaTheme="majorEastAsia"/>
          <w:bCs/>
          <w:color w:val="000000" w:themeColor="text1"/>
          <w:sz w:val="18"/>
          <w:szCs w:val="18"/>
        </w:rPr>
        <w:t>■个人投资者：【□ C1、■ C2、■ C3、■ C4、■ C5、■ C6】。</w:t>
      </w:r>
    </w:p>
    <w:p>
      <w:pPr>
        <w:ind w:firstLine="360" w:firstLineChars="200"/>
        <w:rPr>
          <w:rFonts w:asciiTheme="majorEastAsia" w:hAnsiTheme="majorEastAsia" w:eastAsiaTheme="majorEastAsia"/>
          <w:bCs/>
          <w:color w:val="000000" w:themeColor="text1"/>
          <w:sz w:val="18"/>
          <w:szCs w:val="18"/>
        </w:rPr>
      </w:pPr>
      <w:r>
        <w:rPr>
          <w:rFonts w:hint="eastAsia" w:asciiTheme="majorEastAsia" w:hAnsiTheme="majorEastAsia" w:eastAsiaTheme="majorEastAsia"/>
          <w:bCs/>
          <w:color w:val="000000" w:themeColor="text1"/>
          <w:sz w:val="18"/>
          <w:szCs w:val="18"/>
        </w:rPr>
        <w:t>□机构投资者：□一般</w:t>
      </w:r>
      <w:r>
        <w:rPr>
          <w:rFonts w:asciiTheme="majorEastAsia" w:hAnsiTheme="majorEastAsia" w:eastAsiaTheme="majorEastAsia"/>
          <w:bCs/>
          <w:color w:val="000000" w:themeColor="text1"/>
          <w:sz w:val="18"/>
          <w:szCs w:val="18"/>
        </w:rPr>
        <w:t>机构</w:t>
      </w:r>
      <w:r>
        <w:rPr>
          <w:rFonts w:hint="eastAsia" w:asciiTheme="majorEastAsia" w:hAnsiTheme="majorEastAsia" w:eastAsiaTheme="majorEastAsia"/>
          <w:bCs/>
          <w:color w:val="000000" w:themeColor="text1"/>
          <w:sz w:val="18"/>
          <w:szCs w:val="18"/>
        </w:rPr>
        <w:t>客户【□</w:t>
      </w:r>
      <w:r>
        <w:rPr>
          <w:rFonts w:asciiTheme="majorEastAsia" w:hAnsiTheme="majorEastAsia" w:eastAsiaTheme="majorEastAsia"/>
          <w:bCs/>
          <w:color w:val="000000" w:themeColor="text1"/>
          <w:sz w:val="18"/>
          <w:szCs w:val="18"/>
        </w:rPr>
        <w:t xml:space="preserve"> C1、</w:t>
      </w:r>
      <w:r>
        <w:rPr>
          <w:rFonts w:hint="eastAsia" w:asciiTheme="majorEastAsia" w:hAnsiTheme="majorEastAsia" w:eastAsiaTheme="majorEastAsia"/>
          <w:bCs/>
          <w:color w:val="000000" w:themeColor="text1"/>
          <w:sz w:val="18"/>
          <w:szCs w:val="18"/>
        </w:rPr>
        <w:t xml:space="preserve">□ </w:t>
      </w:r>
      <w:r>
        <w:rPr>
          <w:rFonts w:asciiTheme="majorEastAsia" w:hAnsiTheme="majorEastAsia" w:eastAsiaTheme="majorEastAsia"/>
          <w:bCs/>
          <w:color w:val="000000" w:themeColor="text1"/>
          <w:sz w:val="18"/>
          <w:szCs w:val="18"/>
        </w:rPr>
        <w:t>C2、</w:t>
      </w:r>
      <w:r>
        <w:rPr>
          <w:rFonts w:hint="eastAsia" w:asciiTheme="majorEastAsia" w:hAnsiTheme="majorEastAsia" w:eastAsiaTheme="majorEastAsia"/>
          <w:bCs/>
          <w:color w:val="000000" w:themeColor="text1"/>
          <w:sz w:val="18"/>
          <w:szCs w:val="18"/>
        </w:rPr>
        <w:t xml:space="preserve">□ </w:t>
      </w:r>
      <w:r>
        <w:rPr>
          <w:rFonts w:asciiTheme="majorEastAsia" w:hAnsiTheme="majorEastAsia" w:eastAsiaTheme="majorEastAsia"/>
          <w:bCs/>
          <w:color w:val="000000" w:themeColor="text1"/>
          <w:sz w:val="18"/>
          <w:szCs w:val="18"/>
        </w:rPr>
        <w:t>C3、</w:t>
      </w:r>
      <w:r>
        <w:rPr>
          <w:rFonts w:hint="eastAsia" w:asciiTheme="majorEastAsia" w:hAnsiTheme="majorEastAsia" w:eastAsiaTheme="majorEastAsia"/>
          <w:bCs/>
          <w:color w:val="000000" w:themeColor="text1"/>
          <w:sz w:val="18"/>
          <w:szCs w:val="18"/>
        </w:rPr>
        <w:t xml:space="preserve">□ </w:t>
      </w:r>
      <w:r>
        <w:rPr>
          <w:rFonts w:asciiTheme="majorEastAsia" w:hAnsiTheme="majorEastAsia" w:eastAsiaTheme="majorEastAsia"/>
          <w:bCs/>
          <w:color w:val="000000" w:themeColor="text1"/>
          <w:sz w:val="18"/>
          <w:szCs w:val="18"/>
        </w:rPr>
        <w:t>C4、</w:t>
      </w:r>
      <w:r>
        <w:rPr>
          <w:rFonts w:hint="eastAsia" w:asciiTheme="majorEastAsia" w:hAnsiTheme="majorEastAsia" w:eastAsiaTheme="majorEastAsia"/>
          <w:bCs/>
          <w:color w:val="000000" w:themeColor="text1"/>
          <w:sz w:val="18"/>
          <w:szCs w:val="18"/>
        </w:rPr>
        <w:t xml:space="preserve">□ </w:t>
      </w:r>
      <w:r>
        <w:rPr>
          <w:rFonts w:asciiTheme="majorEastAsia" w:hAnsiTheme="majorEastAsia" w:eastAsiaTheme="majorEastAsia"/>
          <w:bCs/>
          <w:color w:val="000000" w:themeColor="text1"/>
          <w:sz w:val="18"/>
          <w:szCs w:val="18"/>
        </w:rPr>
        <w:t>C5】</w:t>
      </w:r>
      <w:r>
        <w:rPr>
          <w:rFonts w:hint="eastAsia" w:asciiTheme="majorEastAsia" w:hAnsiTheme="majorEastAsia" w:eastAsiaTheme="majorEastAsia"/>
          <w:bCs/>
          <w:color w:val="000000" w:themeColor="text1"/>
          <w:sz w:val="18"/>
          <w:szCs w:val="18"/>
        </w:rPr>
        <w:t>，□金融同业客户。</w:t>
      </w:r>
    </w:p>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0" w:firstLineChars="200"/>
        <w:rPr>
          <w:rFonts w:ascii="黑体" w:hAnsi="黑体" w:eastAsia="黑体"/>
          <w:sz w:val="18"/>
          <w:szCs w:val="18"/>
        </w:rPr>
      </w:pPr>
      <w:r>
        <w:rPr>
          <w:rFonts w:hint="eastAsia" w:ascii="黑体" w:hAnsi="黑体" w:eastAsia="黑体"/>
          <w:sz w:val="18"/>
          <w:szCs w:val="18"/>
        </w:rPr>
        <w:t>（一）投资者投资本产品可能面临的特定风险主要包括（但不限于）：</w:t>
      </w:r>
    </w:p>
    <w:p>
      <w:pPr>
        <w:pStyle w:val="13"/>
        <w:ind w:firstLine="448" w:firstLineChars="0"/>
        <w:rPr>
          <w:rFonts w:ascii="黑体" w:hAnsi="黑体" w:eastAsia="黑体"/>
          <w:sz w:val="18"/>
          <w:szCs w:val="18"/>
        </w:rPr>
      </w:pPr>
      <w:r>
        <w:rPr>
          <w:rFonts w:hint="eastAsia" w:ascii="黑体" w:hAnsi="黑体" w:eastAsia="黑体"/>
          <w:sz w:val="18"/>
          <w:szCs w:val="18"/>
        </w:rPr>
        <w:t>1.拟投资市场和资产的风险：</w:t>
      </w:r>
    </w:p>
    <w:p>
      <w:pPr>
        <w:pStyle w:val="13"/>
        <w:ind w:firstLineChars="0"/>
        <w:rPr>
          <w:rFonts w:ascii="宋体" w:hAnsi="宋体"/>
          <w:sz w:val="18"/>
          <w:szCs w:val="18"/>
        </w:rPr>
      </w:pPr>
      <w:r>
        <w:rPr>
          <w:rFonts w:hint="eastAsia" w:ascii="宋体" w:hAnsi="宋体"/>
          <w:sz w:val="18"/>
          <w:szCs w:val="18"/>
        </w:rPr>
        <w:t>（</w:t>
      </w:r>
      <w:r>
        <w:rPr>
          <w:rFonts w:ascii="宋体" w:hAnsi="宋体"/>
          <w:sz w:val="18"/>
          <w:szCs w:val="18"/>
        </w:rPr>
        <w:t>1）投资固定收益类资产的风险</w:t>
      </w:r>
    </w:p>
    <w:p>
      <w:pPr>
        <w:pStyle w:val="13"/>
        <w:ind w:firstLineChars="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投资</w:t>
      </w:r>
      <w:r>
        <w:rPr>
          <w:rFonts w:hint="eastAsia" w:ascii="宋体" w:hAnsi="宋体"/>
          <w:sz w:val="18"/>
          <w:szCs w:val="18"/>
        </w:rPr>
        <w:t>标准化</w:t>
      </w:r>
      <w:r>
        <w:rPr>
          <w:rFonts w:ascii="宋体" w:hAnsi="宋体"/>
          <w:sz w:val="18"/>
          <w:szCs w:val="18"/>
        </w:rPr>
        <w:t>债权类资产的风险</w:t>
      </w:r>
    </w:p>
    <w:p>
      <w:pPr>
        <w:pStyle w:val="13"/>
        <w:ind w:firstLineChars="0"/>
        <w:rPr>
          <w:rFonts w:ascii="宋体" w:hAnsi="宋体"/>
          <w:sz w:val="18"/>
          <w:szCs w:val="18"/>
        </w:rPr>
      </w:pPr>
      <w:r>
        <w:rPr>
          <w:rFonts w:ascii="宋体" w:hAnsi="宋体"/>
          <w:sz w:val="18"/>
          <w:szCs w:val="18"/>
        </w:rPr>
        <w:t>本产品投资债券</w:t>
      </w:r>
      <w:r>
        <w:rPr>
          <w:rFonts w:hint="eastAsia" w:ascii="宋体" w:hAnsi="宋体"/>
          <w:sz w:val="18"/>
          <w:szCs w:val="18"/>
        </w:rPr>
        <w:t>、资产支持证券等固定收益类资产时可能面临以下风险：</w:t>
      </w:r>
      <w:r>
        <w:rPr>
          <w:rFonts w:ascii="宋体" w:hAnsi="宋体"/>
          <w:sz w:val="18"/>
          <w:szCs w:val="18"/>
        </w:rPr>
        <w:t>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3"/>
        <w:ind w:firstLineChars="0"/>
        <w:rPr>
          <w:rFonts w:ascii="宋体" w:hAnsi="宋体"/>
          <w:sz w:val="18"/>
          <w:szCs w:val="18"/>
        </w:rPr>
      </w:pPr>
      <w:r>
        <w:rPr>
          <w:rFonts w:ascii="宋体" w:hAnsi="宋体"/>
          <w:sz w:val="18"/>
          <w:szCs w:val="18"/>
        </w:rPr>
        <w:t>2）投资非标准化债权类资产</w:t>
      </w:r>
      <w:r>
        <w:rPr>
          <w:rFonts w:hint="eastAsia" w:ascii="宋体" w:hAnsi="宋体"/>
          <w:sz w:val="18"/>
          <w:szCs w:val="18"/>
        </w:rPr>
        <w:t>的</w:t>
      </w:r>
      <w:r>
        <w:rPr>
          <w:rFonts w:ascii="宋体" w:hAnsi="宋体"/>
          <w:sz w:val="18"/>
          <w:szCs w:val="18"/>
        </w:rPr>
        <w:t>风险</w:t>
      </w:r>
    </w:p>
    <w:p>
      <w:pPr>
        <w:pStyle w:val="13"/>
        <w:ind w:firstLineChars="0"/>
        <w:rPr>
          <w:rFonts w:ascii="宋体" w:hAnsi="宋体"/>
          <w:sz w:val="18"/>
          <w:szCs w:val="18"/>
        </w:rPr>
      </w:pPr>
      <w:r>
        <w:rPr>
          <w:rFonts w:hint="eastAsia" w:ascii="宋体" w:hAnsi="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pPr>
        <w:pStyle w:val="13"/>
        <w:ind w:firstLineChars="0"/>
        <w:rPr>
          <w:rFonts w:ascii="宋体" w:hAnsi="宋体"/>
          <w:sz w:val="18"/>
          <w:szCs w:val="18"/>
        </w:rPr>
      </w:pPr>
      <w:r>
        <w:rPr>
          <w:rFonts w:hint="eastAsia" w:ascii="宋体" w:hAnsi="宋体"/>
          <w:sz w:val="18"/>
          <w:szCs w:val="18"/>
        </w:rPr>
        <w:t>（2）投资</w:t>
      </w:r>
      <w:r>
        <w:rPr>
          <w:rFonts w:ascii="宋体" w:hAnsi="宋体"/>
          <w:sz w:val="18"/>
          <w:szCs w:val="18"/>
        </w:rPr>
        <w:t>权益类资产</w:t>
      </w:r>
      <w:r>
        <w:rPr>
          <w:rFonts w:hint="eastAsia" w:ascii="宋体" w:hAnsi="宋体"/>
          <w:sz w:val="18"/>
          <w:szCs w:val="18"/>
        </w:rPr>
        <w:t>的</w:t>
      </w:r>
      <w:r>
        <w:rPr>
          <w:rFonts w:ascii="宋体" w:hAnsi="宋体"/>
          <w:sz w:val="18"/>
          <w:szCs w:val="18"/>
        </w:rPr>
        <w:t>风险</w:t>
      </w:r>
      <w:r>
        <w:rPr>
          <w:rFonts w:hint="eastAsia" w:ascii="宋体" w:hAnsi="宋体"/>
          <w:sz w:val="18"/>
          <w:szCs w:val="18"/>
        </w:rPr>
        <w:t xml:space="preserve"> </w:t>
      </w:r>
    </w:p>
    <w:p>
      <w:pPr>
        <w:pStyle w:val="13"/>
        <w:ind w:firstLineChars="0"/>
        <w:rPr>
          <w:rFonts w:ascii="宋体" w:hAnsi="宋体"/>
          <w:sz w:val="18"/>
          <w:szCs w:val="18"/>
        </w:rPr>
      </w:pPr>
      <w:r>
        <w:rPr>
          <w:rFonts w:hint="eastAsia" w:ascii="宋体" w:hAnsi="宋体"/>
          <w:sz w:val="18"/>
          <w:szCs w:val="18"/>
        </w:rPr>
        <w:t>1）投资股票类资产的风险</w:t>
      </w:r>
    </w:p>
    <w:p>
      <w:pPr>
        <w:pStyle w:val="13"/>
        <w:ind w:firstLineChars="0"/>
        <w:rPr>
          <w:rFonts w:ascii="宋体" w:hAnsi="宋体"/>
          <w:sz w:val="18"/>
          <w:szCs w:val="18"/>
        </w:rPr>
      </w:pPr>
      <w:r>
        <w:rPr>
          <w:rFonts w:ascii="宋体" w:hAnsi="宋体"/>
          <w:sz w:val="18"/>
          <w:szCs w:val="18"/>
        </w:rPr>
        <w:t>本产品投资股票类资产时可能面临以下风险</w:t>
      </w:r>
      <w:r>
        <w:rPr>
          <w:rFonts w:hint="eastAsia" w:ascii="宋体" w:hAnsi="宋体"/>
          <w:sz w:val="18"/>
          <w:szCs w:val="18"/>
        </w:rPr>
        <w:t>：</w:t>
      </w:r>
      <w:r>
        <w:rPr>
          <w:rFonts w:ascii="宋体" w:hAnsi="宋体"/>
          <w:sz w:val="18"/>
          <w:szCs w:val="18"/>
        </w:rPr>
        <w:t>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pPr>
        <w:pStyle w:val="13"/>
        <w:ind w:firstLineChars="0"/>
        <w:rPr>
          <w:rFonts w:ascii="宋体" w:hAnsi="宋体"/>
          <w:sz w:val="18"/>
          <w:szCs w:val="18"/>
        </w:rPr>
      </w:pPr>
      <w:r>
        <w:rPr>
          <w:rFonts w:hint="eastAsia" w:ascii="宋体" w:hAnsi="宋体"/>
          <w:sz w:val="18"/>
          <w:szCs w:val="18"/>
        </w:rPr>
        <w:t>2）投资股权类资产的风险</w:t>
      </w:r>
    </w:p>
    <w:p>
      <w:pPr>
        <w:rPr>
          <w:rFonts w:ascii="宋体" w:hAnsi="宋体"/>
          <w:sz w:val="18"/>
          <w:szCs w:val="18"/>
        </w:rPr>
      </w:pPr>
      <w:r>
        <w:rPr>
          <w:rFonts w:ascii="宋体" w:hAnsi="宋体"/>
          <w:sz w:val="18"/>
          <w:szCs w:val="18"/>
        </w:rPr>
        <w:t>本产品投资未上市股权类资产时可能面临以下风险</w:t>
      </w:r>
      <w:r>
        <w:rPr>
          <w:rFonts w:hint="eastAsia" w:ascii="宋体" w:hAnsi="宋体"/>
          <w:sz w:val="18"/>
          <w:szCs w:val="18"/>
        </w:rPr>
        <w:t>：</w:t>
      </w:r>
      <w:r>
        <w:rPr>
          <w:rFonts w:ascii="宋体" w:hAnsi="宋体"/>
          <w:sz w:val="18"/>
          <w:szCs w:val="18"/>
        </w:rPr>
        <w:t>国家政策、经济周期、行业政策</w:t>
      </w:r>
      <w:r>
        <w:rPr>
          <w:rFonts w:hint="eastAsia" w:ascii="宋体" w:hAnsi="宋体"/>
          <w:sz w:val="18"/>
          <w:szCs w:val="18"/>
        </w:rPr>
        <w:t>等因素可能发生变化导致的市场风险；</w:t>
      </w:r>
      <w:r>
        <w:rPr>
          <w:rFonts w:ascii="宋体" w:hAnsi="宋体"/>
          <w:sz w:val="18"/>
          <w:szCs w:val="18"/>
        </w:rPr>
        <w:t>因市场、技术、竞争、管理、财务等导致公司盈利发生变化，其</w:t>
      </w:r>
      <w:r>
        <w:rPr>
          <w:rFonts w:hint="eastAsia" w:ascii="宋体" w:hAnsi="宋体"/>
          <w:sz w:val="18"/>
          <w:szCs w:val="18"/>
        </w:rPr>
        <w:t>股权</w:t>
      </w:r>
      <w:r>
        <w:rPr>
          <w:rFonts w:ascii="宋体" w:hAnsi="宋体"/>
          <w:sz w:val="18"/>
          <w:szCs w:val="18"/>
        </w:rPr>
        <w:t>价值可能下跌，影响投资者收益</w:t>
      </w:r>
      <w:r>
        <w:rPr>
          <w:rFonts w:hint="eastAsia" w:ascii="宋体" w:hAnsi="宋体"/>
          <w:sz w:val="18"/>
          <w:szCs w:val="18"/>
        </w:rPr>
        <w:t>；</w:t>
      </w:r>
      <w:r>
        <w:rPr>
          <w:rFonts w:ascii="宋体" w:hAnsi="宋体"/>
          <w:sz w:val="18"/>
          <w:szCs w:val="18"/>
        </w:rPr>
        <w:t>因股权未上市或存在相关限制股权转让的协议导致的流动性风险等</w:t>
      </w:r>
      <w:r>
        <w:rPr>
          <w:rFonts w:hint="eastAsia" w:ascii="宋体" w:hAnsi="宋体"/>
          <w:sz w:val="18"/>
          <w:szCs w:val="18"/>
        </w:rPr>
        <w:t>。</w:t>
      </w:r>
    </w:p>
    <w:p>
      <w:pPr>
        <w:pStyle w:val="13"/>
        <w:ind w:firstLineChars="0"/>
        <w:rPr>
          <w:rFonts w:ascii="宋体" w:hAnsi="宋体"/>
          <w:sz w:val="18"/>
          <w:szCs w:val="18"/>
        </w:rPr>
      </w:pPr>
      <w:r>
        <w:rPr>
          <w:rFonts w:hint="eastAsia" w:ascii="宋体" w:hAnsi="宋体"/>
          <w:sz w:val="18"/>
          <w:szCs w:val="18"/>
        </w:rPr>
        <w:t>（</w:t>
      </w:r>
      <w:r>
        <w:rPr>
          <w:rFonts w:ascii="宋体" w:hAnsi="宋体"/>
          <w:sz w:val="18"/>
          <w:szCs w:val="18"/>
        </w:rPr>
        <w:t>3）投资商品和金融衍生品类资产</w:t>
      </w:r>
      <w:r>
        <w:rPr>
          <w:rFonts w:hint="eastAsia" w:ascii="宋体" w:hAnsi="宋体"/>
          <w:sz w:val="18"/>
          <w:szCs w:val="18"/>
        </w:rPr>
        <w:t>的</w:t>
      </w:r>
      <w:r>
        <w:rPr>
          <w:rFonts w:ascii="宋体" w:hAnsi="宋体"/>
          <w:sz w:val="18"/>
          <w:szCs w:val="18"/>
        </w:rPr>
        <w:t>风险</w:t>
      </w:r>
      <w:r>
        <w:rPr>
          <w:rFonts w:hint="eastAsia" w:ascii="宋体" w:hAnsi="宋体"/>
          <w:sz w:val="18"/>
          <w:szCs w:val="18"/>
        </w:rPr>
        <w:t xml:space="preserve"> </w:t>
      </w:r>
    </w:p>
    <w:p>
      <w:pPr>
        <w:pStyle w:val="13"/>
        <w:ind w:firstLineChars="0"/>
        <w:rPr>
          <w:rFonts w:ascii="宋体" w:hAnsi="宋体"/>
          <w:sz w:val="18"/>
          <w:szCs w:val="18"/>
        </w:rPr>
      </w:pPr>
      <w:r>
        <w:rPr>
          <w:rFonts w:ascii="宋体" w:hAnsi="宋体"/>
          <w:sz w:val="18"/>
          <w:szCs w:val="18"/>
        </w:rPr>
        <w:t>本产品投资商品和金融衍生品类资产时</w:t>
      </w:r>
      <w:r>
        <w:rPr>
          <w:rFonts w:hint="eastAsia" w:ascii="宋体" w:hAnsi="宋体"/>
          <w:sz w:val="18"/>
          <w:szCs w:val="18"/>
        </w:rPr>
        <w:t>可能面临以下风险：该衍生品资产</w:t>
      </w:r>
      <w:r>
        <w:rPr>
          <w:rFonts w:ascii="宋体" w:hAnsi="宋体"/>
          <w:sz w:val="18"/>
          <w:szCs w:val="18"/>
        </w:rPr>
        <w:t>可能实行保证金交易制度，具有高杠杆性，高杠杆效应放大了价格波动风险；若本产品运作中出现基差</w:t>
      </w:r>
      <w:r>
        <w:rPr>
          <w:rFonts w:hint="eastAsia" w:ascii="宋体" w:hAnsi="宋体"/>
          <w:sz w:val="18"/>
          <w:szCs w:val="18"/>
        </w:rPr>
        <w:t>（注：</w:t>
      </w:r>
      <w:r>
        <w:rPr>
          <w:rFonts w:ascii="宋体" w:hAnsi="宋体"/>
          <w:sz w:val="18"/>
          <w:szCs w:val="18"/>
        </w:rPr>
        <w:t>基差是指现货价格与期货价格之间的差额</w:t>
      </w:r>
      <w:r>
        <w:rPr>
          <w:rFonts w:hint="eastAsia" w:ascii="宋体" w:hAnsi="宋体"/>
          <w:sz w:val="18"/>
          <w:szCs w:val="18"/>
        </w:rPr>
        <w:t>）</w:t>
      </w:r>
      <w:r>
        <w:rPr>
          <w:rFonts w:ascii="宋体" w:hAnsi="宋体"/>
          <w:sz w:val="18"/>
          <w:szCs w:val="18"/>
        </w:rPr>
        <w:t>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pStyle w:val="13"/>
        <w:ind w:firstLine="361"/>
        <w:rPr>
          <w:rFonts w:ascii="黑体" w:hAnsi="黑体" w:eastAsia="黑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 xml:space="preserve">注：以上特定风险仅为列举性质，未能详尽列明投资本产品可能面临的全部风险和可能导致投资者投资本金及收益损失的所有因素。   </w:t>
      </w:r>
    </w:p>
    <w:p>
      <w:pPr>
        <w:pStyle w:val="13"/>
        <w:ind w:firstLine="426" w:firstLineChars="0"/>
        <w:rPr>
          <w:rFonts w:ascii="宋体" w:hAnsi="宋体"/>
          <w:sz w:val="18"/>
          <w:szCs w:val="18"/>
        </w:rPr>
      </w:pPr>
      <w:r>
        <w:rPr>
          <w:rFonts w:hint="eastAsia" w:ascii="宋体" w:hAnsi="宋体"/>
          <w:sz w:val="18"/>
          <w:szCs w:val="18"/>
        </w:rPr>
        <w:t xml:space="preserve">（二）投资者投资本产品可能面临的一般风险主要包括（但不限于）： </w:t>
      </w:r>
    </w:p>
    <w:p>
      <w:pPr>
        <w:pStyle w:val="13"/>
        <w:ind w:firstLine="426" w:firstLineChars="0"/>
        <w:rPr>
          <w:rFonts w:ascii="宋体" w:hAnsi="宋体" w:cs="仿宋_GB2312"/>
          <w:kern w:val="0"/>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cs="仿宋_GB2312"/>
          <w:kern w:val="0"/>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cs="仿宋_GB2312"/>
          <w:kern w:val="0"/>
          <w:sz w:val="18"/>
          <w:szCs w:val="18"/>
        </w:rPr>
      </w:pPr>
      <w:r>
        <w:rPr>
          <w:rFonts w:ascii="宋体" w:hAnsi="宋体"/>
          <w:b/>
          <w:bCs/>
          <w:sz w:val="18"/>
          <w:szCs w:val="18"/>
        </w:rPr>
        <w:t>3</w:t>
      </w:r>
      <w:r>
        <w:rPr>
          <w:rFonts w:hint="eastAsia" w:ascii="宋体" w:hAnsi="宋体"/>
          <w:b/>
          <w:bCs/>
          <w:sz w:val="18"/>
          <w:szCs w:val="18"/>
        </w:rPr>
        <w:t>.市场</w:t>
      </w:r>
      <w:r>
        <w:rPr>
          <w:rFonts w:ascii="宋体" w:hAnsi="宋体"/>
          <w:b/>
          <w:bCs/>
          <w:sz w:val="18"/>
          <w:szCs w:val="18"/>
        </w:rPr>
        <w:t>风险：</w:t>
      </w: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Cs/>
          <w:kern w:val="0"/>
          <w:sz w:val="18"/>
          <w:szCs w:val="18"/>
        </w:rPr>
      </w:pPr>
      <w:r>
        <w:rPr>
          <w:rFonts w:hint="eastAsia" w:ascii="宋体" w:hAnsi="宋体" w:cs="仿宋_GB2312"/>
          <w:b/>
          <w:kern w:val="0"/>
          <w:sz w:val="18"/>
          <w:szCs w:val="18"/>
        </w:rPr>
        <w:t>4.流动性风险：</w:t>
      </w: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kern w:val="0"/>
          <w:sz w:val="18"/>
          <w:szCs w:val="18"/>
        </w:rPr>
      </w:pPr>
      <w:r>
        <w:rPr>
          <w:rFonts w:ascii="宋体" w:hAnsi="宋体" w:cs="仿宋_GB2312"/>
          <w:b/>
          <w:kern w:val="0"/>
          <w:sz w:val="18"/>
          <w:szCs w:val="18"/>
        </w:rPr>
        <w:t>5</w:t>
      </w:r>
      <w:r>
        <w:rPr>
          <w:rFonts w:hint="eastAsia" w:ascii="宋体" w:hAnsi="宋体" w:cs="仿宋_GB2312"/>
          <w:b/>
          <w:kern w:val="0"/>
          <w:sz w:val="18"/>
          <w:szCs w:val="18"/>
        </w:rPr>
        <w:t>.</w:t>
      </w:r>
      <w:r>
        <w:rPr>
          <w:rFonts w:ascii="宋体" w:hAnsi="宋体" w:cs="仿宋_GB2312"/>
          <w:b/>
          <w:kern w:val="0"/>
          <w:sz w:val="18"/>
          <w:szCs w:val="18"/>
        </w:rPr>
        <w:t>法律与政策风险：</w:t>
      </w: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cs="仿宋_GB2312"/>
          <w:kern w:val="0"/>
          <w:sz w:val="18"/>
          <w:szCs w:val="18"/>
        </w:rPr>
      </w:pPr>
      <w:r>
        <w:rPr>
          <w:rFonts w:ascii="宋体" w:hAnsi="宋体"/>
          <w:b/>
          <w:bCs/>
          <w:sz w:val="18"/>
          <w:szCs w:val="18"/>
        </w:rPr>
        <w:t>6</w:t>
      </w:r>
      <w:r>
        <w:rPr>
          <w:rFonts w:hint="eastAsia" w:ascii="宋体" w:hAnsi="宋体"/>
          <w:b/>
          <w:bCs/>
          <w:sz w:val="18"/>
          <w:szCs w:val="18"/>
        </w:rPr>
        <w:t>.</w:t>
      </w:r>
      <w:r>
        <w:rPr>
          <w:rFonts w:ascii="宋体" w:hAnsi="宋体"/>
          <w:b/>
          <w:bCs/>
          <w:sz w:val="18"/>
          <w:szCs w:val="18"/>
        </w:rPr>
        <w:t>延期</w:t>
      </w:r>
      <w:r>
        <w:rPr>
          <w:rFonts w:hint="eastAsia" w:ascii="宋体" w:hAnsi="宋体"/>
          <w:b/>
          <w:bCs/>
          <w:sz w:val="18"/>
          <w:szCs w:val="18"/>
        </w:rPr>
        <w:t>分配</w:t>
      </w:r>
      <w:r>
        <w:rPr>
          <w:rFonts w:ascii="宋体" w:hAnsi="宋体"/>
          <w:b/>
          <w:bCs/>
          <w:sz w:val="18"/>
          <w:szCs w:val="18"/>
        </w:rPr>
        <w:t>风险：</w:t>
      </w: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kern w:val="0"/>
          <w:sz w:val="18"/>
          <w:szCs w:val="18"/>
        </w:rPr>
      </w:pPr>
      <w:r>
        <w:rPr>
          <w:rFonts w:ascii="宋体" w:hAnsi="宋体" w:cs="仿宋_GB2312"/>
          <w:b/>
          <w:kern w:val="0"/>
          <w:sz w:val="18"/>
          <w:szCs w:val="18"/>
        </w:rPr>
        <w:t>7</w:t>
      </w:r>
      <w:r>
        <w:rPr>
          <w:rFonts w:hint="eastAsia" w:ascii="宋体" w:hAnsi="宋体" w:cs="仿宋_GB2312"/>
          <w:b/>
          <w:kern w:val="0"/>
          <w:sz w:val="18"/>
          <w:szCs w:val="18"/>
        </w:rPr>
        <w:t>.</w:t>
      </w:r>
      <w:r>
        <w:rPr>
          <w:rFonts w:ascii="宋体" w:hAnsi="宋体" w:cs="仿宋_GB2312"/>
          <w:b/>
          <w:kern w:val="0"/>
          <w:sz w:val="18"/>
          <w:szCs w:val="18"/>
        </w:rPr>
        <w:t>早偿风险：</w:t>
      </w:r>
      <w:r>
        <w:rPr>
          <w:rFonts w:hint="eastAsia" w:ascii="宋体" w:hAnsi="宋体" w:cs="仿宋_GB2312"/>
          <w:kern w:val="0"/>
          <w:sz w:val="18"/>
          <w:szCs w:val="18"/>
        </w:rPr>
        <w:t>如遇国家金融政策重大调整影响产品正常运作时、本产品的投资资产等不能成立或者提前终止、或者司法机关要求、或发生其他产品管理人认为需要提前终止本产品等情况，产品管理人有权部分或全部提前终止本产品，投资者将面临再投资机会风险。</w:t>
      </w:r>
    </w:p>
    <w:p>
      <w:pPr>
        <w:pStyle w:val="13"/>
        <w:ind w:firstLine="426" w:firstLineChars="0"/>
        <w:rPr>
          <w:rFonts w:ascii="宋体" w:hAnsi="宋体" w:cs="仿宋_GB2312"/>
          <w:kern w:val="0"/>
          <w:sz w:val="18"/>
          <w:szCs w:val="18"/>
        </w:rPr>
      </w:pPr>
      <w:r>
        <w:rPr>
          <w:rFonts w:ascii="宋体" w:hAnsi="宋体"/>
          <w:b/>
          <w:bCs/>
          <w:sz w:val="18"/>
          <w:szCs w:val="18"/>
        </w:rPr>
        <w:t>8</w:t>
      </w:r>
      <w:r>
        <w:rPr>
          <w:rFonts w:hint="eastAsia" w:ascii="宋体" w:hAnsi="宋体"/>
          <w:b/>
          <w:bCs/>
          <w:sz w:val="18"/>
          <w:szCs w:val="18"/>
        </w:rPr>
        <w:t>.</w:t>
      </w:r>
      <w:r>
        <w:rPr>
          <w:rFonts w:ascii="宋体" w:hAnsi="宋体"/>
          <w:b/>
          <w:bCs/>
          <w:sz w:val="18"/>
          <w:szCs w:val="18"/>
        </w:rPr>
        <w:t>信息传递风险：</w:t>
      </w:r>
      <w:r>
        <w:rPr>
          <w:rFonts w:hint="eastAsia" w:ascii="宋体" w:hAnsi="宋体" w:cs="仿宋_GB2312"/>
          <w:kern w:val="0"/>
          <w:sz w:val="18"/>
          <w:szCs w:val="18"/>
        </w:rPr>
        <w:t>投资者需要通过约定的信息披露渠道了解产品相关信息公告。具体公告方式以理财产品合同所载明的公告方式为准。投资者应根据本产品说明书所载明的公告方式及时查询本理财产品的相关信息。</w:t>
      </w:r>
      <w:r>
        <w:rPr>
          <w:rFonts w:hint="eastAsia" w:ascii="黑体" w:hAnsi="黑体" w:eastAsia="黑体" w:cs="仿宋_GB2312"/>
          <w:bCs/>
          <w:kern w:val="0"/>
          <w:sz w:val="18"/>
          <w:szCs w:val="18"/>
        </w:rPr>
        <w:t>★</w:t>
      </w:r>
      <w:r>
        <w:rPr>
          <w:rFonts w:ascii="黑体" w:hAnsi="黑体" w:eastAsia="黑体" w:cs="仿宋_GB2312"/>
          <w:kern w:val="0"/>
          <w:sz w:val="18"/>
          <w:szCs w:val="18"/>
        </w:rPr>
        <w:t>如果投资者未及时查询，或由于通讯故障、系统故障以及其他不可抗力等因素的影响使得投资者无法及时了解产品信息，由此而产生的责任和风险由投资者自行承担。</w:t>
      </w:r>
      <w:r>
        <w:rPr>
          <w:rFonts w:ascii="宋体" w:hAnsi="宋体" w:cs="仿宋_GB2312"/>
          <w:kern w:val="0"/>
          <w:sz w:val="18"/>
          <w:szCs w:val="18"/>
        </w:rPr>
        <w:t>如投资者预留的有效联系方式变更但未及时告知</w:t>
      </w:r>
      <w:r>
        <w:rPr>
          <w:rFonts w:hint="eastAsia" w:ascii="宋体" w:hAnsi="宋体" w:cs="仿宋_GB2312"/>
          <w:kern w:val="0"/>
          <w:sz w:val="18"/>
          <w:szCs w:val="18"/>
        </w:rPr>
        <w:t>产品管理人</w:t>
      </w:r>
      <w:r>
        <w:rPr>
          <w:rFonts w:ascii="宋体" w:hAnsi="宋体" w:cs="仿宋_GB2312"/>
          <w:kern w:val="0"/>
          <w:sz w:val="18"/>
          <w:szCs w:val="18"/>
        </w:rPr>
        <w:t>的，致使在需要联系投资者时无法及时联系并可能会由此影响投资者的投资决策，由此而产生的责任和风险由投资者自行承担。</w:t>
      </w:r>
    </w:p>
    <w:p>
      <w:pPr>
        <w:ind w:firstLine="450" w:firstLineChars="249"/>
        <w:rPr>
          <w:rFonts w:ascii="宋体" w:hAnsi="宋体"/>
          <w:bCs/>
          <w:sz w:val="18"/>
          <w:szCs w:val="18"/>
        </w:rPr>
      </w:pPr>
      <w:r>
        <w:rPr>
          <w:rFonts w:ascii="宋体" w:hAnsi="宋体"/>
          <w:b/>
          <w:bCs/>
          <w:sz w:val="18"/>
          <w:szCs w:val="18"/>
        </w:rPr>
        <w:t>9</w:t>
      </w:r>
      <w:r>
        <w:rPr>
          <w:rFonts w:hint="eastAsia" w:ascii="宋体" w:hAnsi="宋体"/>
          <w:b/>
          <w:bCs/>
          <w:sz w:val="18"/>
          <w:szCs w:val="18"/>
        </w:rPr>
        <w:t>.</w:t>
      </w:r>
      <w:r>
        <w:rPr>
          <w:rFonts w:ascii="宋体" w:hAnsi="宋体"/>
          <w:b/>
          <w:bCs/>
          <w:sz w:val="18"/>
          <w:szCs w:val="18"/>
        </w:rPr>
        <w:t>不可抗力及意外事件风险：</w:t>
      </w:r>
      <w:r>
        <w:rPr>
          <w:rFonts w:hint="eastAsia" w:ascii="宋体" w:hAnsi="宋体"/>
          <w:bCs/>
          <w:sz w:val="18"/>
          <w:szCs w:val="18"/>
        </w:rPr>
        <w:t>因战争、自然灾害、重大政治事件等不可抗力以及其他不可预见的意外事件可能致使理财产品面临损失的风险。</w:t>
      </w:r>
    </w:p>
    <w:p>
      <w:pPr>
        <w:pStyle w:val="13"/>
        <w:ind w:firstLine="426" w:firstLineChars="0"/>
        <w:rPr>
          <w:rFonts w:ascii="宋体" w:hAnsi="宋体"/>
          <w:bCs/>
          <w:sz w:val="18"/>
          <w:szCs w:val="18"/>
        </w:rPr>
      </w:pPr>
      <w:r>
        <w:rPr>
          <w:rFonts w:ascii="宋体" w:hAnsi="宋体"/>
          <w:b/>
          <w:bCs/>
          <w:sz w:val="18"/>
          <w:szCs w:val="18"/>
        </w:rPr>
        <w:t>10</w:t>
      </w:r>
      <w:r>
        <w:rPr>
          <w:rFonts w:hint="eastAsia" w:ascii="宋体" w:hAnsi="宋体"/>
          <w:b/>
          <w:bCs/>
          <w:sz w:val="18"/>
          <w:szCs w:val="18"/>
        </w:rPr>
        <w:t>.</w:t>
      </w:r>
      <w:r>
        <w:rPr>
          <w:rFonts w:ascii="宋体" w:hAnsi="宋体"/>
          <w:b/>
          <w:bCs/>
          <w:sz w:val="18"/>
          <w:szCs w:val="18"/>
        </w:rPr>
        <w:t>管理人风险：</w:t>
      </w: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Chars="0"/>
        <w:rPr>
          <w:rFonts w:ascii="宋体" w:hAnsi="宋体"/>
          <w:bCs/>
          <w:sz w:val="18"/>
          <w:szCs w:val="18"/>
        </w:rPr>
      </w:pPr>
      <w:r>
        <w:rPr>
          <w:rFonts w:ascii="宋体" w:hAnsi="宋体"/>
          <w:b/>
          <w:bCs/>
          <w:sz w:val="18"/>
          <w:szCs w:val="18"/>
        </w:rPr>
        <w:t>11</w:t>
      </w:r>
      <w:r>
        <w:rPr>
          <w:rFonts w:hint="eastAsia" w:ascii="宋体" w:hAnsi="宋体"/>
          <w:b/>
          <w:bCs/>
          <w:sz w:val="18"/>
          <w:szCs w:val="18"/>
        </w:rPr>
        <w:t>.理财产品不成立风险：</w:t>
      </w: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Chars="0"/>
        <w:rPr>
          <w:rFonts w:ascii="宋体" w:hAnsi="宋体"/>
          <w:bCs/>
          <w:sz w:val="18"/>
          <w:szCs w:val="18"/>
        </w:rPr>
      </w:pPr>
      <w:r>
        <w:rPr>
          <w:rFonts w:ascii="宋体" w:hAnsi="宋体"/>
          <w:b/>
          <w:bCs/>
          <w:sz w:val="18"/>
          <w:szCs w:val="18"/>
        </w:rPr>
        <w:t>12</w:t>
      </w:r>
      <w:r>
        <w:rPr>
          <w:rFonts w:hint="eastAsia" w:ascii="宋体" w:hAnsi="宋体"/>
          <w:b/>
          <w:bCs/>
          <w:sz w:val="18"/>
          <w:szCs w:val="18"/>
        </w:rPr>
        <w:t>.</w:t>
      </w:r>
      <w:r>
        <w:rPr>
          <w:rFonts w:ascii="宋体" w:hAnsi="宋体"/>
          <w:b/>
          <w:bCs/>
          <w:sz w:val="18"/>
          <w:szCs w:val="18"/>
        </w:rPr>
        <w:t>操作风险：</w:t>
      </w: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Chars="0"/>
        <w:rPr>
          <w:rFonts w:ascii="宋体" w:hAnsi="宋体"/>
          <w:bCs/>
          <w:sz w:val="18"/>
          <w:szCs w:val="18"/>
        </w:rPr>
      </w:pPr>
      <w:r>
        <w:rPr>
          <w:rFonts w:ascii="宋体" w:hAnsi="宋体"/>
          <w:b/>
          <w:bCs/>
          <w:sz w:val="18"/>
          <w:szCs w:val="18"/>
        </w:rPr>
        <w:t>13.估值</w:t>
      </w:r>
      <w:r>
        <w:rPr>
          <w:rFonts w:hint="eastAsia" w:ascii="宋体" w:hAnsi="宋体"/>
          <w:b/>
          <w:bCs/>
          <w:sz w:val="18"/>
          <w:szCs w:val="18"/>
        </w:rPr>
        <w:t>波动</w:t>
      </w:r>
      <w:r>
        <w:rPr>
          <w:rFonts w:ascii="宋体" w:hAnsi="宋体"/>
          <w:b/>
          <w:bCs/>
          <w:sz w:val="18"/>
          <w:szCs w:val="18"/>
        </w:rPr>
        <w:t>风险：</w:t>
      </w:r>
      <w:r>
        <w:rPr>
          <w:rFonts w:hint="eastAsia" w:asciiTheme="majorEastAsia" w:hAnsiTheme="majorEastAsia" w:eastAsiaTheme="majorEastAsia"/>
          <w:bCs/>
          <w:color w:val="000000" w:themeColor="text1"/>
          <w:sz w:val="18"/>
          <w:szCs w:val="18"/>
        </w:rPr>
        <w:t>本理财产品可能</w:t>
      </w:r>
      <w:r>
        <w:rPr>
          <w:rFonts w:asciiTheme="majorEastAsia" w:hAnsiTheme="majorEastAsia" w:eastAsiaTheme="majorEastAsia"/>
          <w:bCs/>
          <w:color w:val="000000" w:themeColor="text1"/>
          <w:sz w:val="18"/>
          <w:szCs w:val="18"/>
        </w:rPr>
        <w:t>投资符合监管</w:t>
      </w:r>
      <w:r>
        <w:rPr>
          <w:rFonts w:hint="eastAsia" w:asciiTheme="majorEastAsia" w:hAnsiTheme="majorEastAsia" w:eastAsiaTheme="majorEastAsia"/>
          <w:bCs/>
          <w:color w:val="000000" w:themeColor="text1"/>
          <w:sz w:val="18"/>
          <w:szCs w:val="18"/>
        </w:rPr>
        <w:t>要求的资产管理产品（包括但不限于信托计划、</w:t>
      </w:r>
      <w:r>
        <w:rPr>
          <w:rFonts w:hint="eastAsia" w:asciiTheme="majorEastAsia" w:hAnsiTheme="majorEastAsia" w:eastAsiaTheme="majorEastAsia"/>
          <w:bCs/>
          <w:color w:val="000000" w:themeColor="text1"/>
          <w:kern w:val="0"/>
          <w:sz w:val="18"/>
          <w:szCs w:val="18"/>
        </w:rPr>
        <w:t>公募基金、基金公司或子公司资产管理计划、证券公司资产管理计划、</w:t>
      </w:r>
      <w:r>
        <w:rPr>
          <w:rFonts w:hint="eastAsia" w:asciiTheme="majorEastAsia" w:hAnsiTheme="majorEastAsia" w:eastAsiaTheme="majorEastAsia"/>
          <w:bCs/>
          <w:color w:val="000000" w:themeColor="text1"/>
          <w:sz w:val="18"/>
          <w:szCs w:val="18"/>
        </w:rPr>
        <w:t>期货资产管理计划、</w:t>
      </w:r>
      <w:r>
        <w:rPr>
          <w:rFonts w:hint="eastAsia" w:asciiTheme="majorEastAsia" w:hAnsiTheme="majorEastAsia" w:eastAsiaTheme="majorEastAsia"/>
          <w:bCs/>
          <w:color w:val="000000" w:themeColor="text1"/>
          <w:kern w:val="0"/>
          <w:sz w:val="18"/>
          <w:szCs w:val="18"/>
        </w:rPr>
        <w:t>保险资产管理计划</w:t>
      </w:r>
      <w:r>
        <w:rPr>
          <w:rFonts w:hint="eastAsia" w:asciiTheme="majorEastAsia" w:hAnsiTheme="majorEastAsia" w:eastAsiaTheme="majorEastAsia"/>
          <w:bCs/>
          <w:color w:val="000000" w:themeColor="text1"/>
          <w:sz w:val="18"/>
          <w:szCs w:val="18"/>
        </w:rPr>
        <w:t>等），前述资产管理产品的管理人可能收取</w:t>
      </w:r>
      <w:r>
        <w:rPr>
          <w:rFonts w:asciiTheme="majorEastAsia" w:hAnsiTheme="majorEastAsia" w:eastAsiaTheme="majorEastAsia"/>
          <w:bCs/>
          <w:color w:val="000000" w:themeColor="text1"/>
          <w:sz w:val="18"/>
          <w:szCs w:val="18"/>
        </w:rPr>
        <w:t>业绩报酬，</w:t>
      </w:r>
      <w:r>
        <w:rPr>
          <w:rFonts w:hint="eastAsia" w:asciiTheme="majorEastAsia" w:hAnsiTheme="majorEastAsia" w:eastAsiaTheme="majorEastAsia"/>
          <w:bCs/>
          <w:color w:val="000000" w:themeColor="text1"/>
          <w:sz w:val="18"/>
          <w:szCs w:val="18"/>
        </w:rPr>
        <w:t>当前述资产管理产品计提业绩报酬时，本理财产品的产品份额净值存在下跌的风险。</w:t>
      </w:r>
    </w:p>
    <w:p>
      <w:pPr>
        <w:pStyle w:val="13"/>
        <w:ind w:firstLineChars="0"/>
        <w:rPr>
          <w:rFonts w:ascii="宋体" w:hAnsi="宋体"/>
          <w:bCs/>
          <w:sz w:val="18"/>
          <w:szCs w:val="18"/>
        </w:rPr>
      </w:pPr>
      <w:r>
        <w:rPr>
          <w:rFonts w:ascii="宋体" w:hAnsi="宋体"/>
          <w:b/>
          <w:bCs/>
          <w:sz w:val="18"/>
          <w:szCs w:val="18"/>
        </w:rPr>
        <w:t>14</w:t>
      </w:r>
      <w:r>
        <w:rPr>
          <w:rFonts w:hint="eastAsia" w:ascii="宋体" w:hAnsi="宋体"/>
          <w:b/>
          <w:bCs/>
          <w:sz w:val="18"/>
          <w:szCs w:val="18"/>
        </w:rPr>
        <w:t>.</w:t>
      </w:r>
      <w:r>
        <w:rPr>
          <w:rFonts w:ascii="宋体" w:hAnsi="宋体"/>
          <w:b/>
          <w:bCs/>
          <w:sz w:val="18"/>
          <w:szCs w:val="18"/>
        </w:rPr>
        <w:t>估值差错风险：</w:t>
      </w: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3"/>
        <w:ind w:firstLineChars="0"/>
        <w:rPr>
          <w:rFonts w:ascii="黑体" w:hAnsi="黑体" w:eastAsia="黑体"/>
          <w:bCs/>
          <w:sz w:val="18"/>
          <w:szCs w:val="18"/>
          <w:u w:val="single"/>
        </w:rPr>
      </w:pPr>
      <w:r>
        <w:rPr>
          <w:rFonts w:ascii="宋体" w:hAnsi="宋体"/>
          <w:b/>
          <w:bCs/>
          <w:sz w:val="18"/>
          <w:szCs w:val="18"/>
        </w:rPr>
        <w:t>15</w:t>
      </w:r>
      <w:r>
        <w:rPr>
          <w:rFonts w:hint="eastAsia" w:ascii="宋体" w:hAnsi="宋体"/>
          <w:b/>
          <w:bCs/>
          <w:sz w:val="18"/>
          <w:szCs w:val="18"/>
        </w:rPr>
        <w:t>.</w:t>
      </w:r>
      <w:r>
        <w:rPr>
          <w:rFonts w:hint="eastAsia" w:hAnsi="宋体"/>
          <w:sz w:val="18"/>
          <w:szCs w:val="18"/>
        </w:rPr>
        <w:t>★</w:t>
      </w:r>
      <w:r>
        <w:rPr>
          <w:rFonts w:hint="eastAsia" w:ascii="宋体" w:hAnsi="宋体"/>
          <w:b/>
          <w:bCs/>
          <w:sz w:val="18"/>
          <w:szCs w:val="18"/>
        </w:rPr>
        <w:t>代销风险：</w:t>
      </w:r>
      <w:r>
        <w:rPr>
          <w:rFonts w:hint="eastAsia" w:ascii="黑体" w:hAnsi="黑体" w:eastAsia="黑体"/>
          <w:bCs/>
          <w:sz w:val="18"/>
          <w:szCs w:val="18"/>
          <w:u w:val="single"/>
        </w:rPr>
        <w:t>本理财产品若通过非产品管理人自有渠道进行销售的属于代理销售，认购</w:t>
      </w:r>
      <w:r>
        <w:rPr>
          <w:rFonts w:ascii="黑体" w:hAnsi="黑体" w:eastAsia="黑体"/>
          <w:bCs/>
          <w:sz w:val="18"/>
          <w:szCs w:val="18"/>
          <w:u w:val="single"/>
        </w:rPr>
        <w:t>/</w:t>
      </w:r>
      <w:r>
        <w:rPr>
          <w:rFonts w:hint="eastAsia" w:ascii="黑体" w:hAnsi="黑体" w:eastAsia="黑体"/>
          <w:bCs/>
          <w:sz w:val="18"/>
          <w:szCs w:val="18"/>
          <w:u w:val="single"/>
        </w:rPr>
        <w:t>申购时投资者购买理财产品的资金由代理销售机构从投资者清算账户扣收并划付管理人，赎回理财产品份额时相应款项由管理人按约定划付至代理销售机构，并由代理销售机构向投资者支付投资者应得理财利益。不同代理销售机构的销售渠道，其</w:t>
      </w:r>
      <w:r>
        <w:rPr>
          <w:rFonts w:ascii="黑体" w:hAnsi="黑体" w:eastAsia="黑体"/>
          <w:bCs/>
          <w:sz w:val="18"/>
          <w:szCs w:val="18"/>
          <w:u w:val="single"/>
        </w:rPr>
        <w:t>申购</w:t>
      </w:r>
      <w:r>
        <w:rPr>
          <w:rFonts w:hint="eastAsia" w:ascii="黑体" w:hAnsi="黑体" w:eastAsia="黑体"/>
          <w:bCs/>
          <w:sz w:val="18"/>
          <w:szCs w:val="18"/>
          <w:u w:val="single"/>
        </w:rPr>
        <w:t>/赎回确认时效可能存在差异。如因投资者清算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pStyle w:val="13"/>
        <w:ind w:firstLineChars="0"/>
        <w:rPr>
          <w:rFonts w:ascii="黑体" w:hAnsi="黑体" w:eastAsia="黑体" w:cs="仿宋_GB2312"/>
          <w:kern w:val="0"/>
          <w:sz w:val="18"/>
          <w:szCs w:val="18"/>
        </w:rPr>
      </w:pPr>
      <w:r>
        <w:rPr>
          <w:rFonts w:ascii="黑体" w:hAnsi="黑体" w:eastAsia="黑体"/>
          <w:b/>
          <w:bCs/>
          <w:sz w:val="18"/>
          <w:szCs w:val="18"/>
          <w:u w:val="single"/>
        </w:rPr>
        <w:t>16.</w:t>
      </w:r>
      <w:r>
        <w:rPr>
          <w:rFonts w:hint="eastAsia" w:ascii="黑体" w:hAnsi="黑体" w:eastAsia="黑体" w:cs="仿宋_GB2312"/>
          <w:b/>
          <w:kern w:val="0"/>
          <w:sz w:val="18"/>
          <w:szCs w:val="18"/>
        </w:rPr>
        <w:t>★不同理财产品份额类别存在差异的风险：</w:t>
      </w: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等因素，对理财投资者所持有的理财产品设置不同理财产品份额类别。不同类别的理财产品份额在销售名称、</w:t>
      </w:r>
      <w:r>
        <w:rPr>
          <w:rFonts w:hint="eastAsia" w:ascii="黑体" w:hAnsi="黑体" w:eastAsia="黑体"/>
          <w:sz w:val="18"/>
          <w:szCs w:val="18"/>
        </w:rPr>
        <w:t>收费方式、</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w:t>
      </w:r>
      <w:r>
        <w:rPr>
          <w:rFonts w:hint="eastAsia" w:ascii="黑体" w:hAnsi="黑体" w:eastAsia="黑体" w:cs="仿宋_GB2312"/>
          <w:kern w:val="0"/>
          <w:sz w:val="18"/>
          <w:szCs w:val="18"/>
        </w:rPr>
        <w:t>赎回的数量限制、</w:t>
      </w:r>
      <w:r>
        <w:rPr>
          <w:rFonts w:hint="eastAsia" w:ascii="黑体" w:hAnsi="黑体" w:eastAsia="黑体"/>
          <w:sz w:val="18"/>
          <w:szCs w:val="18"/>
        </w:rPr>
        <w:t>投资者持有本产品的最高限额最低限额、</w:t>
      </w:r>
      <w:r>
        <w:rPr>
          <w:rFonts w:hint="eastAsia" w:ascii="黑体" w:hAnsi="黑体" w:eastAsia="黑体" w:cs="仿宋_GB2312"/>
          <w:kern w:val="0"/>
          <w:sz w:val="18"/>
          <w:szCs w:val="18"/>
        </w:rPr>
        <w:t>计算和公告产品份额净值方面存在差异。</w:t>
      </w:r>
    </w:p>
    <w:p>
      <w:pPr>
        <w:pStyle w:val="13"/>
        <w:ind w:firstLineChars="0"/>
        <w:rPr>
          <w:rFonts w:ascii="黑体" w:hAnsi="黑体" w:eastAsia="黑体"/>
          <w:sz w:val="18"/>
          <w:szCs w:val="18"/>
          <w:u w:val="single"/>
        </w:rPr>
      </w:pPr>
      <w:r>
        <w:rPr>
          <w:rFonts w:ascii="黑体" w:hAnsi="黑体" w:eastAsia="黑体"/>
          <w:b/>
          <w:bCs/>
          <w:sz w:val="18"/>
          <w:szCs w:val="18"/>
          <w:u w:val="single"/>
        </w:rPr>
        <w:t>17.</w:t>
      </w:r>
      <w:r>
        <w:rPr>
          <w:rFonts w:hint="eastAsia" w:ascii="黑体" w:hAnsi="黑体" w:eastAsia="黑体"/>
          <w:b/>
          <w:bCs/>
          <w:sz w:val="18"/>
          <w:szCs w:val="18"/>
          <w:u w:val="single"/>
        </w:rPr>
        <w:t>关联交易风险：</w:t>
      </w:r>
      <w:r>
        <w:rPr>
          <w:rFonts w:hint="eastAsia" w:ascii="黑体" w:hAnsi="黑体" w:eastAsia="黑体"/>
          <w:sz w:val="18"/>
          <w:szCs w:val="18"/>
          <w:u w:val="single"/>
        </w:rPr>
        <w:t>若本产品的销售机构为兴业银行股份有限公司（以下简称“兴业银行”），鉴于兴业银行是产品管理人的关联方，尽管兴业银行已建立健全关联方产品销售管理制度，但上述关联</w:t>
      </w:r>
      <w:r>
        <w:rPr>
          <w:rFonts w:ascii="黑体" w:hAnsi="黑体" w:eastAsia="黑体"/>
          <w:sz w:val="18"/>
          <w:szCs w:val="18"/>
          <w:u w:val="single"/>
        </w:rPr>
        <w:t>关系</w:t>
      </w:r>
      <w:r>
        <w:rPr>
          <w:rFonts w:hint="eastAsia" w:ascii="黑体" w:hAnsi="黑体" w:eastAsia="黑体"/>
          <w:sz w:val="18"/>
          <w:szCs w:val="18"/>
          <w:u w:val="single"/>
        </w:rPr>
        <w:t>仍可能产生</w:t>
      </w:r>
      <w:r>
        <w:rPr>
          <w:rFonts w:ascii="黑体" w:hAnsi="黑体" w:eastAsia="黑体"/>
          <w:sz w:val="18"/>
          <w:szCs w:val="18"/>
          <w:u w:val="single"/>
        </w:rPr>
        <w:t>不利影响和投资</w:t>
      </w:r>
      <w:r>
        <w:rPr>
          <w:rFonts w:hint="eastAsia" w:ascii="黑体" w:hAnsi="黑体" w:eastAsia="黑体"/>
          <w:sz w:val="18"/>
          <w:szCs w:val="18"/>
          <w:u w:val="single"/>
        </w:rPr>
        <w:t>风险，进而可能影响投资者的利益。</w:t>
      </w:r>
    </w:p>
    <w:p>
      <w:pPr>
        <w:autoSpaceDE w:val="0"/>
        <w:autoSpaceDN w:val="0"/>
        <w:adjustRightInd w:val="0"/>
        <w:ind w:firstLine="420"/>
        <w:jc w:val="left"/>
        <w:rPr>
          <w:rFonts w:ascii="黑体" w:hAnsi="黑体" w:eastAsia="黑体"/>
          <w:b/>
          <w:sz w:val="18"/>
          <w:szCs w:val="18"/>
        </w:rPr>
      </w:pPr>
      <w:r>
        <w:rPr>
          <w:rFonts w:hint="eastAsia" w:ascii="黑体" w:hAnsi="黑体" w:eastAsia="黑体" w:cs="仿宋_GB2312"/>
          <w:b/>
          <w:kern w:val="0"/>
          <w:sz w:val="18"/>
          <w:szCs w:val="18"/>
        </w:rPr>
        <w:t>（三）</w:t>
      </w:r>
      <w:r>
        <w:rPr>
          <w:rFonts w:hint="eastAsia" w:hAnsi="宋体"/>
          <w:b/>
          <w:sz w:val="18"/>
          <w:szCs w:val="18"/>
        </w:rPr>
        <w:t>★</w:t>
      </w:r>
      <w:r>
        <w:rPr>
          <w:rFonts w:hint="eastAsia" w:ascii="黑体" w:hAnsi="黑体" w:eastAsia="黑体" w:cs="仿宋_GB2312"/>
          <w:b/>
          <w:kern w:val="0"/>
          <w:sz w:val="18"/>
          <w:szCs w:val="18"/>
        </w:rPr>
        <w:t>最不利投资情形下的投资结果示例：</w:t>
      </w:r>
      <w:r>
        <w:rPr>
          <w:rFonts w:hint="eastAsia" w:ascii="黑体" w:hAnsi="黑体" w:eastAsia="黑体"/>
          <w:b/>
          <w:bCs/>
          <w:sz w:val="18"/>
          <w:szCs w:val="18"/>
        </w:rPr>
        <w:t>产品管理人对本产品的理财本金和收益不提供保证承诺，</w:t>
      </w:r>
      <w:r>
        <w:rPr>
          <w:rFonts w:hint="eastAsia" w:ascii="黑体" w:hAnsi="黑体" w:eastAsia="黑体"/>
          <w:b/>
          <w:sz w:val="18"/>
          <w:szCs w:val="18"/>
        </w:rPr>
        <w:t>若理财产品运作期间，该理财产品投资标的出现风险，则投资者可能无法获得理财收益</w:t>
      </w:r>
      <w:r>
        <w:rPr>
          <w:rFonts w:ascii="黑体" w:hAnsi="黑体" w:eastAsia="黑体"/>
          <w:b/>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宋体"/>
          <w:b/>
          <w:bCs/>
          <w:color w:val="000000"/>
          <w:kern w:val="0"/>
          <w:sz w:val="18"/>
          <w:szCs w:val="18"/>
        </w:rPr>
        <w:t>五、【投资者适用】</w:t>
      </w:r>
      <w:r>
        <w:rPr>
          <w:rFonts w:hint="eastAsia" w:ascii="宋体" w:hAnsi="宋体" w:cs="仿宋_GB2312"/>
          <w:kern w:val="0"/>
          <w:sz w:val="18"/>
          <w:szCs w:val="18"/>
        </w:rPr>
        <w:t>《投资者风险承受能力评估问卷》用于评估投资者对金融工具及投资目标的相关风险的态度。投资者可根据评估结果确定所属投资者类型，购买适合的理财产品。</w:t>
      </w:r>
      <w:r>
        <w:rPr>
          <w:rFonts w:hint="eastAsia" w:ascii="黑体" w:hAnsi="黑体" w:eastAsia="黑体" w:cs="仿宋_GB2312"/>
          <w:kern w:val="0"/>
          <w:sz w:val="18"/>
          <w:szCs w:val="18"/>
        </w:rPr>
        <w:t>如影响您风险承受能力的因素发生变化，请您及时重新完成风险承受能力评估。</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r>
        <w:rPr>
          <w:rFonts w:hint="eastAsia" w:ascii="宋体" w:hAnsi="宋体"/>
          <w:sz w:val="18"/>
          <w:szCs w:val="18"/>
        </w:rPr>
        <w:t>销售机构（【</w:t>
      </w:r>
      <w:r>
        <w:rPr>
          <w:rFonts w:hint="eastAsia" w:asciiTheme="majorEastAsia" w:hAnsiTheme="majorEastAsia" w:eastAsiaTheme="majorEastAsia"/>
          <w:bCs/>
          <w:sz w:val="18"/>
          <w:szCs w:val="18"/>
          <w:lang w:val="en-US" w:eastAsia="zh-CN"/>
        </w:rPr>
        <w:t xml:space="preserve">  </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83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投资者签字：</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r>
              <w:rPr>
                <w:rFonts w:ascii="宋体" w:hAnsi="宋体" w:cs="Arial"/>
                <w:b/>
                <w:kern w:val="0"/>
                <w:sz w:val="20"/>
                <w:szCs w:val="21"/>
              </w:rPr>
              <w:t>一般机构客户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r>
        <w:rPr>
          <w:rFonts w:ascii="宋体" w:hAnsi="宋体"/>
          <w:b/>
          <w:sz w:val="28"/>
          <w:szCs w:val="28"/>
        </w:rPr>
        <w:br w:type="page"/>
      </w:r>
    </w:p>
    <w:tbl>
      <w:tblPr>
        <w:tblStyle w:val="8"/>
        <w:tblW w:w="838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trPr>
        <w:tc>
          <w:tcPr>
            <w:tcW w:w="8388"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（适用于机构投资者：金融同业</w:t>
            </w:r>
            <w:r>
              <w:rPr>
                <w:rFonts w:ascii="宋体" w:hAnsi="宋体" w:cs="Arial"/>
                <w:b/>
                <w:kern w:val="0"/>
                <w:sz w:val="20"/>
                <w:szCs w:val="21"/>
              </w:rPr>
              <w:t>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16" w:hRule="atLeast"/>
        </w:trPr>
        <w:tc>
          <w:tcPr>
            <w:tcW w:w="8388"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ckThinLargeGap" w:color="auto" w:sz="24" w:space="10"/>
      </w:pBdr>
      <w:tabs>
        <w:tab w:val="right" w:pos="8280"/>
      </w:tabs>
      <w:wordWrap w:val="0"/>
      <w:adjustRightInd w:val="0"/>
      <w:ind w:firstLine="180" w:firstLineChars="100"/>
      <w:jc w:val="right"/>
    </w:pPr>
    <w:r>
      <w:rPr>
        <w:rFonts w:hint="eastAsia"/>
      </w:rPr>
      <w:t>风险揭示书</w:t>
    </w:r>
  </w:p>
  <w:p>
    <w:pPr>
      <w:pStyle w:val="5"/>
      <w:pBdr>
        <w:bottom w:val="thickThinLargeGap" w:color="auto" w:sz="24" w:space="10"/>
      </w:pBdr>
      <w:tabs>
        <w:tab w:val="right" w:pos="8280"/>
      </w:tabs>
      <w:wordWrap w:val="0"/>
      <w:adjustRightInd w:val="0"/>
      <w:ind w:firstLine="180" w:firstLineChars="100"/>
      <w:jc w:val="right"/>
    </w:pPr>
    <w:r>
      <w:t>注</w:t>
    </w:r>
    <w:r>
      <w:rPr>
        <w:rFonts w:hint="eastAsia"/>
      </w:rPr>
      <w:t>：</w:t>
    </w:r>
    <w: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E8F"/>
    <w:rsid w:val="00003621"/>
    <w:rsid w:val="00014638"/>
    <w:rsid w:val="00096AC8"/>
    <w:rsid w:val="000A244A"/>
    <w:rsid w:val="000B16F1"/>
    <w:rsid w:val="000B357F"/>
    <w:rsid w:val="000F0566"/>
    <w:rsid w:val="000F6AE7"/>
    <w:rsid w:val="001104E8"/>
    <w:rsid w:val="00152999"/>
    <w:rsid w:val="00167937"/>
    <w:rsid w:val="001C5047"/>
    <w:rsid w:val="002114AF"/>
    <w:rsid w:val="002354DB"/>
    <w:rsid w:val="00243A02"/>
    <w:rsid w:val="00262560"/>
    <w:rsid w:val="002B4BDD"/>
    <w:rsid w:val="002B63FC"/>
    <w:rsid w:val="002C604E"/>
    <w:rsid w:val="002F0B15"/>
    <w:rsid w:val="003259E6"/>
    <w:rsid w:val="00334E2F"/>
    <w:rsid w:val="0034028B"/>
    <w:rsid w:val="00346ED2"/>
    <w:rsid w:val="00351951"/>
    <w:rsid w:val="00374070"/>
    <w:rsid w:val="00386224"/>
    <w:rsid w:val="003E1A68"/>
    <w:rsid w:val="003F1C32"/>
    <w:rsid w:val="00420D74"/>
    <w:rsid w:val="00432402"/>
    <w:rsid w:val="0045040F"/>
    <w:rsid w:val="00466605"/>
    <w:rsid w:val="004A236B"/>
    <w:rsid w:val="004B4026"/>
    <w:rsid w:val="004C7F5E"/>
    <w:rsid w:val="004D5307"/>
    <w:rsid w:val="004F034F"/>
    <w:rsid w:val="004F1EF1"/>
    <w:rsid w:val="00510BA5"/>
    <w:rsid w:val="00527A03"/>
    <w:rsid w:val="00563E8F"/>
    <w:rsid w:val="005804B9"/>
    <w:rsid w:val="005A0E14"/>
    <w:rsid w:val="005C6FCB"/>
    <w:rsid w:val="005E583A"/>
    <w:rsid w:val="005F2E9B"/>
    <w:rsid w:val="005F48BE"/>
    <w:rsid w:val="00640FDE"/>
    <w:rsid w:val="006538E1"/>
    <w:rsid w:val="007143CD"/>
    <w:rsid w:val="00717416"/>
    <w:rsid w:val="007303F6"/>
    <w:rsid w:val="00732C8C"/>
    <w:rsid w:val="00747259"/>
    <w:rsid w:val="007A4C26"/>
    <w:rsid w:val="007B017F"/>
    <w:rsid w:val="007B5F3E"/>
    <w:rsid w:val="007C7189"/>
    <w:rsid w:val="007E4BE3"/>
    <w:rsid w:val="0080662E"/>
    <w:rsid w:val="00836C1F"/>
    <w:rsid w:val="00866E74"/>
    <w:rsid w:val="00894EE6"/>
    <w:rsid w:val="008A707D"/>
    <w:rsid w:val="008D3E86"/>
    <w:rsid w:val="008E3B64"/>
    <w:rsid w:val="008F2B54"/>
    <w:rsid w:val="00955293"/>
    <w:rsid w:val="00981E5B"/>
    <w:rsid w:val="009B13AF"/>
    <w:rsid w:val="009E4F7C"/>
    <w:rsid w:val="00A02826"/>
    <w:rsid w:val="00A352A3"/>
    <w:rsid w:val="00A52128"/>
    <w:rsid w:val="00A90E34"/>
    <w:rsid w:val="00A95D0C"/>
    <w:rsid w:val="00AB57AF"/>
    <w:rsid w:val="00AE5AA3"/>
    <w:rsid w:val="00B06267"/>
    <w:rsid w:val="00B07DEF"/>
    <w:rsid w:val="00B14822"/>
    <w:rsid w:val="00B35D81"/>
    <w:rsid w:val="00B3723D"/>
    <w:rsid w:val="00B61F55"/>
    <w:rsid w:val="00B81329"/>
    <w:rsid w:val="00BB513F"/>
    <w:rsid w:val="00BC1259"/>
    <w:rsid w:val="00BC2076"/>
    <w:rsid w:val="00BC398E"/>
    <w:rsid w:val="00BD251E"/>
    <w:rsid w:val="00BE1A3A"/>
    <w:rsid w:val="00C01696"/>
    <w:rsid w:val="00C4233D"/>
    <w:rsid w:val="00D03CCD"/>
    <w:rsid w:val="00D33509"/>
    <w:rsid w:val="00D46533"/>
    <w:rsid w:val="00D91389"/>
    <w:rsid w:val="00DA2C69"/>
    <w:rsid w:val="00DC4ABB"/>
    <w:rsid w:val="00DD246D"/>
    <w:rsid w:val="00DD43B7"/>
    <w:rsid w:val="00DD5ABC"/>
    <w:rsid w:val="00DE3630"/>
    <w:rsid w:val="00E27A39"/>
    <w:rsid w:val="00E504DE"/>
    <w:rsid w:val="00E767F1"/>
    <w:rsid w:val="00E80603"/>
    <w:rsid w:val="00EB34F9"/>
    <w:rsid w:val="00EC5833"/>
    <w:rsid w:val="00F1747E"/>
    <w:rsid w:val="00F34E57"/>
    <w:rsid w:val="00F57B20"/>
    <w:rsid w:val="00F7745C"/>
    <w:rsid w:val="00F8077D"/>
    <w:rsid w:val="00FB3140"/>
    <w:rsid w:val="00FD7473"/>
    <w:rsid w:val="02F820E5"/>
    <w:rsid w:val="03B22E51"/>
    <w:rsid w:val="0F4E0910"/>
    <w:rsid w:val="0FCA3FBC"/>
    <w:rsid w:val="16E0244F"/>
    <w:rsid w:val="18797693"/>
    <w:rsid w:val="1ABC3843"/>
    <w:rsid w:val="1D9858FD"/>
    <w:rsid w:val="23024B39"/>
    <w:rsid w:val="30D07848"/>
    <w:rsid w:val="40523766"/>
    <w:rsid w:val="435B2EBF"/>
    <w:rsid w:val="4F6D4AD6"/>
    <w:rsid w:val="527C063B"/>
    <w:rsid w:val="601969DF"/>
    <w:rsid w:val="63EC745F"/>
    <w:rsid w:val="64202CA8"/>
    <w:rsid w:val="65D069FE"/>
    <w:rsid w:val="6AAE1918"/>
    <w:rsid w:val="73E91C2D"/>
    <w:rsid w:val="7481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 w:type="paragraph" w:customStyle="1" w:styleId="17">
    <w:name w:val="修订1"/>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875</Words>
  <Characters>4990</Characters>
  <Lines>41</Lines>
  <Paragraphs>11</Paragraphs>
  <TotalTime>33</TotalTime>
  <ScaleCrop>false</ScaleCrop>
  <LinksUpToDate>false</LinksUpToDate>
  <CharactersWithSpaces>5854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2021-06-16T13:02:00Z</dcterms:created>
  <dc:creator>胡骁潇</dc:creator>
  <cp:lastModifiedBy>admin</cp:lastModifiedBy>
  <dcterms:modified xsi:type="dcterms:W3CDTF">2022-11-14T01:52:48Z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8C3451F4A9D547188BD69B541900499D</vt:lpwstr>
  </property>
</Properties>
</file>