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bookmarkStart w:id="1" w:name="_GoBack"/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</w:t>
      </w:r>
      <w:r>
        <w:rPr>
          <w:rFonts w:hint="eastAsia" w:asciiTheme="majorEastAsia" w:hAnsiTheme="majorEastAsia" w:eastAsiaTheme="majorEastAsia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】以(□ 直销：产品管理人销售/</w:t>
      </w:r>
      <w:r>
        <w:rPr>
          <w:rFonts w:hint="eastAsia" w:asciiTheme="majorEastAsia" w:hAnsiTheme="majorEastAsia" w:eastAsiaTheme="majorEastAsia"/>
          <w:bCs/>
          <w:color w:val="000000" w:themeColor="text1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</w:t>
      </w:r>
      <w:r>
        <w:rPr>
          <w:rFonts w:ascii="宋体" w:hAnsi="宋体"/>
          <w:sz w:val="18"/>
          <w:szCs w:val="18"/>
        </w:rPr>
        <w:t>（包括但不限于网上银行、电话银行和手机银行）均可办理理财产品的购买手续，但是对于具体理财产品，</w:t>
      </w:r>
      <w:r>
        <w:rPr>
          <w:rFonts w:hint="eastAsia" w:ascii="宋体" w:hAnsi="宋体"/>
          <w:sz w:val="18"/>
          <w:szCs w:val="18"/>
        </w:rPr>
        <w:t>产品管理人</w:t>
      </w:r>
      <w:r>
        <w:rPr>
          <w:rFonts w:ascii="宋体" w:hAnsi="宋体"/>
          <w:sz w:val="18"/>
          <w:szCs w:val="18"/>
        </w:rPr>
        <w:t>将根据产品风险等级和市场情况自行确定发售渠道。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outlineLvl w:val="2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首次购买兴银理财的理财产品前，需要进行风险承受能力评估，填写《个人投资者风险承受能力评估问卷》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 xml:space="preserve">2.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投资者风险承受能力，个人投资者由低至高分为【C1至C</w:t>
      </w:r>
      <w:r>
        <w:rPr>
          <w:rFonts w:ascii="宋体" w:hAnsi="宋体"/>
          <w:sz w:val="18"/>
          <w:szCs w:val="18"/>
        </w:rPr>
        <w:t>6六</w:t>
      </w:r>
      <w:r>
        <w:rPr>
          <w:rFonts w:hint="eastAsia" w:ascii="宋体" w:hAnsi="宋体"/>
          <w:sz w:val="18"/>
          <w:szCs w:val="18"/>
        </w:rPr>
        <w:t>个等级】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【C1】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【C6】</w:t>
      </w:r>
      <w:r>
        <w:rPr>
          <w:rFonts w:ascii="宋体" w:hAnsi="宋体"/>
          <w:sz w:val="18"/>
          <w:szCs w:val="18"/>
        </w:rPr>
        <w:t>为风险承受能力最高类别。风险承受能力评级越高适合购买的理财产品风险评级越高，适合购买的理财产品类型越丰富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311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风险评级</w:t>
            </w:r>
          </w:p>
        </w:tc>
        <w:tc>
          <w:tcPr>
            <w:tcW w:w="531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评级说明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投资者对象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安逸型（R1）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谨慎型（R2）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稳健型（R3）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增长型（R4）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进取型（R5）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激进型（R6）</w:t>
            </w:r>
          </w:p>
        </w:tc>
        <w:tc>
          <w:tcPr>
            <w:tcW w:w="5311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 xml:space="preserve">激进型（C6） </w:t>
            </w: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理财产品的信息披露将通过兴业银行</w:t>
      </w:r>
      <w:r>
        <w:rPr>
          <w:rFonts w:asciiTheme="minorEastAsia" w:hAnsiTheme="minorEastAsia"/>
          <w:sz w:val="18"/>
          <w:szCs w:val="18"/>
        </w:rPr>
        <w:t>或</w:t>
      </w:r>
      <w:r>
        <w:rPr>
          <w:rFonts w:hint="eastAsia" w:asciiTheme="minorEastAsia" w:hAnsiTheme="minorEastAsia"/>
          <w:sz w:val="18"/>
          <w:szCs w:val="18"/>
        </w:rPr>
        <w:t>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</w:t>
      </w:r>
      <w:r>
        <w:rPr>
          <w:rFonts w:hint="eastAsia" w:ascii="宋体" w:hAnsi="宋体"/>
          <w:bCs/>
          <w:sz w:val="18"/>
          <w:szCs w:val="18"/>
        </w:rPr>
        <w:t>行或销售机构的营业网点、门户网站、电子销售渠道等）进行。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信息披露条款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outlineLvl w:val="1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兴银理财客户服务热线：40015-95561。</w:t>
      </w:r>
      <w:bookmarkEnd w:id="0"/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通过</w:t>
      </w:r>
      <w:r>
        <w:rPr>
          <w:rFonts w:hint="eastAsia" w:ascii="宋体" w:hAnsi="宋体"/>
          <w:sz w:val="18"/>
          <w:szCs w:val="18"/>
        </w:rPr>
        <w:t>兴业银行（作为销售机构）购</w:t>
      </w:r>
      <w:r>
        <w:rPr>
          <w:rFonts w:ascii="宋体" w:hAnsi="宋体"/>
          <w:sz w:val="18"/>
          <w:szCs w:val="18"/>
        </w:rPr>
        <w:t>买本产品的请联系兴业银行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jc w:val="right"/>
        <w:rPr>
          <w:rFonts w:ascii="宋体" w:hAnsi="宋体"/>
          <w:sz w:val="18"/>
          <w:szCs w:val="18"/>
        </w:rPr>
      </w:pPr>
    </w:p>
    <w:p>
      <w:pPr>
        <w:ind w:right="84" w:rightChars="40"/>
        <w:jc w:val="righ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</w: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</w:t>
      </w:r>
      <w:r>
        <w:rPr>
          <w:rFonts w:hAnsi="宋体"/>
          <w:b/>
          <w:color w:val="auto"/>
          <w:sz w:val="28"/>
          <w:szCs w:val="28"/>
        </w:rPr>
        <w:t>一般机构客户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 】以(□ 直销：产品管理人销售/</w:t>
      </w:r>
      <w:r>
        <w:rPr>
          <w:rFonts w:hint="eastAsia" w:asciiTheme="majorEastAsia" w:hAnsiTheme="majorEastAsia" w:eastAsiaTheme="majorEastAsia"/>
          <w:bCs/>
          <w:color w:val="000000" w:themeColor="text1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outlineLvl w:val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</w:t>
      </w:r>
      <w:r>
        <w:rPr>
          <w:rFonts w:ascii="宋体" w:hAnsi="宋体"/>
          <w:sz w:val="18"/>
          <w:szCs w:val="18"/>
        </w:rPr>
        <w:t>营业网点或者电子银行（包括但不限于网上银行、电话银行和手机银行）均可办理理财产品的购买手续，但是对于具体理财产品，产品管理人将根据产品风险等级和市场情况自行确定发售渠道。</w:t>
      </w:r>
    </w:p>
    <w:p>
      <w:pPr>
        <w:spacing w:line="280" w:lineRule="atLeast"/>
        <w:ind w:firstLine="361" w:firstLineChars="200"/>
        <w:outlineLvl w:val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首次购买兴银理财的理财产品前，需要进行风险承受能力评估，填写《机构投资者风险承受能力评估问卷》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宋体" w:hAnsi="宋体"/>
          <w:b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 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投资者风险承受能力，机构投资者由低至高分为【C1至C5五个等级】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【C1】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【C5】</w:t>
      </w:r>
      <w:r>
        <w:rPr>
          <w:rFonts w:ascii="宋体" w:hAnsi="宋体"/>
          <w:sz w:val="18"/>
          <w:szCs w:val="18"/>
        </w:rPr>
        <w:t>为风险承受能力最高类别。风险承受能力评级越高适合购买的理财产品风险评级越高，适合购买的理财产品类型越丰富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R1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低风险理财产品。理财产品的总体风险很低，净值波动很小，理财投资本金遭受损失的可能性很低，且产品具有较高的流动性。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C1及以上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R2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较低风险理财产品。理财产品的总体风险较低，净值波动较小，理财投资本金遭受损失的可能性较低。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C2及以上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R3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中等风险理财产品。理财产品的总体风险适中，净值波动明显，产品本金出现损失的可能性不容忽视。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C3及以上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R4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较高风险理财产品。理财产品的总体风险较高，净值波动明显，产品本金出现损失的可能性较高。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C4及以上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R5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高风险理财产品。理财产品的总体风险程度高，净值波动明显，产品本金出现重大损失的可能性高。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C5及以上</w:t>
            </w: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outlineLvl w:val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</w:t>
      </w:r>
      <w:r>
        <w:rPr>
          <w:rFonts w:asciiTheme="minorEastAsia" w:hAnsiTheme="minorEastAsia"/>
          <w:sz w:val="18"/>
          <w:szCs w:val="18"/>
        </w:rPr>
        <w:t>银行</w:t>
      </w:r>
      <w:r>
        <w:rPr>
          <w:rFonts w:hint="eastAsia" w:asciiTheme="minorEastAsia" w:hAnsiTheme="minorEastAsia"/>
          <w:sz w:val="18"/>
          <w:szCs w:val="18"/>
        </w:rPr>
        <w:t>或销售机构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银行</w:t>
      </w:r>
      <w:r>
        <w:rPr>
          <w:rFonts w:hint="eastAsia" w:ascii="宋体" w:hAnsi="宋体"/>
          <w:bCs/>
          <w:sz w:val="18"/>
          <w:szCs w:val="18"/>
        </w:rPr>
        <w:t>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信息披露内容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 xml:space="preserve">”约定为准。  </w:t>
      </w:r>
    </w:p>
    <w:p>
      <w:pPr>
        <w:spacing w:line="280" w:lineRule="atLeast"/>
        <w:ind w:firstLine="360" w:firstLineChars="200"/>
        <w:outlineLvl w:val="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兴银理财客户服务热线：40015-95561。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通过兴业银行（作为销售机构）购</w:t>
      </w:r>
      <w:r>
        <w:rPr>
          <w:rFonts w:ascii="宋体" w:hAnsi="宋体"/>
          <w:sz w:val="18"/>
          <w:szCs w:val="18"/>
        </w:rPr>
        <w:t>买本产品的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280" w:lineRule="atLeast"/>
        <w:jc w:val="right"/>
        <w:rPr>
          <w:rFonts w:ascii="宋体" w:hAnsi="宋体"/>
          <w:sz w:val="18"/>
          <w:szCs w:val="18"/>
        </w:rPr>
      </w:pPr>
    </w:p>
    <w:p>
      <w:pPr>
        <w:spacing w:line="280" w:lineRule="atLeast"/>
        <w:ind w:right="84" w:rightChars="40"/>
        <w:jc w:val="right"/>
        <w:rPr>
          <w:rFonts w:ascii="宋体" w:hAnsi="宋体"/>
          <w:sz w:val="18"/>
          <w:szCs w:val="18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兴银理财天天万利宝稳利净值型理财产品</w:t>
      </w:r>
    </w:p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感谢您通过销售机构【】以(□ 直销：产品管理人销售/□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</w:t>
      </w:r>
      <w:r>
        <w:rPr>
          <w:rFonts w:ascii="宋体" w:hAnsi="宋体"/>
          <w:sz w:val="18"/>
          <w:szCs w:val="18"/>
        </w:rPr>
        <w:t>营业网点或者电子银行（包括但不限于网上银行、电话银行和手机银行）均可办理理财产品的购买手续，但是对于具体理财产品，产品管理人将根据产品风险等级和市场情况自行确定发售渠道。</w:t>
      </w: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鉴于您为金融同业客户，销售机构暂不对您进行风险承受能力评估，请您根据您自身的</w:t>
      </w:r>
      <w:r>
        <w:rPr>
          <w:rFonts w:ascii="宋体" w:hAnsi="宋体"/>
          <w:sz w:val="18"/>
          <w:szCs w:val="18"/>
        </w:rPr>
        <w:t>风险承受能力购买</w:t>
      </w:r>
      <w:r>
        <w:rPr>
          <w:rFonts w:hint="eastAsia" w:ascii="宋体" w:hAnsi="宋体"/>
          <w:sz w:val="18"/>
          <w:szCs w:val="18"/>
        </w:rPr>
        <w:t>产品风险评级适合您的</w:t>
      </w:r>
      <w:r>
        <w:rPr>
          <w:rFonts w:ascii="宋体" w:hAnsi="宋体"/>
          <w:sz w:val="18"/>
          <w:szCs w:val="18"/>
        </w:rPr>
        <w:t>理财产品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理财产品的信息披露将通过兴业</w:t>
      </w:r>
      <w:r>
        <w:rPr>
          <w:rFonts w:asciiTheme="minorEastAsia" w:hAnsiTheme="minorEastAsia"/>
          <w:sz w:val="18"/>
          <w:szCs w:val="18"/>
        </w:rPr>
        <w:t>银行</w:t>
      </w:r>
      <w:r>
        <w:rPr>
          <w:rFonts w:hint="eastAsia" w:asciiTheme="minorEastAsia" w:hAnsiTheme="minorEastAsia"/>
          <w:sz w:val="18"/>
          <w:szCs w:val="18"/>
        </w:rPr>
        <w:t>或销售机构</w:t>
      </w:r>
      <w:r>
        <w:rPr>
          <w:rFonts w:hint="eastAsia" w:ascii="宋体" w:hAnsi="宋体"/>
          <w:bCs/>
          <w:sz w:val="18"/>
          <w:szCs w:val="18"/>
        </w:rPr>
        <w:t>的信息披露渠道（包括但不限于兴业</w:t>
      </w:r>
      <w:r>
        <w:rPr>
          <w:rFonts w:ascii="宋体" w:hAnsi="宋体"/>
          <w:bCs/>
          <w:sz w:val="18"/>
          <w:szCs w:val="18"/>
        </w:rPr>
        <w:t>银行</w:t>
      </w:r>
      <w:r>
        <w:rPr>
          <w:rFonts w:hint="eastAsia" w:ascii="宋体" w:hAnsi="宋体"/>
          <w:bCs/>
          <w:sz w:val="18"/>
          <w:szCs w:val="18"/>
        </w:rPr>
        <w:t>或销售机构的营业网点、门户网站、电子销售渠道等）进行。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信息披露内容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 xml:space="preserve">”约定为准。  </w:t>
      </w:r>
    </w:p>
    <w:p>
      <w:pPr>
        <w:ind w:firstLine="361" w:firstLineChars="200"/>
        <w:outlineLvl w:val="1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兴银理财客户服务热线：40015-95561。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通过兴业银行（作为销售机构）购</w:t>
      </w:r>
      <w:r>
        <w:rPr>
          <w:rFonts w:ascii="宋体" w:hAnsi="宋体"/>
          <w:sz w:val="18"/>
          <w:szCs w:val="18"/>
        </w:rPr>
        <w:t>买本产品的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请联系兴业银行</w:t>
      </w:r>
      <w:r>
        <w:rPr>
          <w:rFonts w:hint="eastAsia" w:ascii="宋体" w:hAnsi="宋体"/>
          <w:sz w:val="18"/>
          <w:szCs w:val="18"/>
        </w:rPr>
        <w:t>，兴业银行客户服务热线：【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】；兴业银行门户网站：【</w:t>
      </w:r>
      <w:r>
        <w:rPr>
          <w:rFonts w:asciiTheme="minorEastAsia" w:hAnsiTheme="minorEastAsia"/>
          <w:sz w:val="18"/>
          <w:szCs w:val="18"/>
        </w:rPr>
        <w:t>www.cib.com.cn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        】（作为销售机构）购买本产品的，请联系【            】，【          】客户服务热线：【           】；【          】门户网站：【                  】。</w:t>
      </w:r>
    </w:p>
    <w:p/>
    <w:bookmarkEnd w:id="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LargeGap" w:color="auto" w:sz="24" w:space="10"/>
      </w:pBdr>
      <w:tabs>
        <w:tab w:val="right" w:pos="8280"/>
      </w:tabs>
      <w:wordWrap w:val="0"/>
      <w:adjustRightInd w:val="0"/>
      <w:ind w:firstLine="180" w:firstLineChars="100"/>
      <w:jc w:val="right"/>
    </w:pPr>
    <w:r>
      <w:rPr>
        <w:rFonts w:hint="eastAsia"/>
      </w:rPr>
      <w:t>投资者权益须知</w:t>
    </w:r>
  </w:p>
  <w:p>
    <w:pPr>
      <w:pStyle w:val="6"/>
      <w:pBdr>
        <w:bottom w:val="thickThinLargeGap" w:color="auto" w:sz="24" w:space="10"/>
      </w:pBdr>
      <w:tabs>
        <w:tab w:val="right" w:pos="8280"/>
      </w:tabs>
      <w:wordWrap w:val="0"/>
      <w:adjustRightInd w:val="0"/>
      <w:ind w:firstLine="181" w:firstLineChars="100"/>
      <w:jc w:val="right"/>
      <w:rPr>
        <w:b/>
      </w:rPr>
    </w:pPr>
    <w:r>
      <w:rPr>
        <w:rFonts w:hint="eastAsia"/>
        <w:b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7B3"/>
    <w:rsid w:val="00012DF8"/>
    <w:rsid w:val="00044E9D"/>
    <w:rsid w:val="000466D9"/>
    <w:rsid w:val="000921B4"/>
    <w:rsid w:val="000C4846"/>
    <w:rsid w:val="000E6147"/>
    <w:rsid w:val="001242AF"/>
    <w:rsid w:val="00141624"/>
    <w:rsid w:val="00146E0C"/>
    <w:rsid w:val="00171420"/>
    <w:rsid w:val="00195672"/>
    <w:rsid w:val="001967A7"/>
    <w:rsid w:val="001A48F9"/>
    <w:rsid w:val="002462D8"/>
    <w:rsid w:val="00271331"/>
    <w:rsid w:val="00276F5A"/>
    <w:rsid w:val="002A6909"/>
    <w:rsid w:val="002B0017"/>
    <w:rsid w:val="002B6D4B"/>
    <w:rsid w:val="002C01C0"/>
    <w:rsid w:val="002E6656"/>
    <w:rsid w:val="003B4628"/>
    <w:rsid w:val="003D624D"/>
    <w:rsid w:val="004A1091"/>
    <w:rsid w:val="004D586E"/>
    <w:rsid w:val="004E5B8C"/>
    <w:rsid w:val="005438C7"/>
    <w:rsid w:val="00552ACB"/>
    <w:rsid w:val="00571A72"/>
    <w:rsid w:val="005A0FFB"/>
    <w:rsid w:val="005A17EF"/>
    <w:rsid w:val="005D158B"/>
    <w:rsid w:val="005E4F9A"/>
    <w:rsid w:val="00622E88"/>
    <w:rsid w:val="00641888"/>
    <w:rsid w:val="00661E32"/>
    <w:rsid w:val="006639A1"/>
    <w:rsid w:val="006B237F"/>
    <w:rsid w:val="006E4016"/>
    <w:rsid w:val="006F690F"/>
    <w:rsid w:val="00705E58"/>
    <w:rsid w:val="00710B52"/>
    <w:rsid w:val="00781AA5"/>
    <w:rsid w:val="00782807"/>
    <w:rsid w:val="007B0970"/>
    <w:rsid w:val="007B231D"/>
    <w:rsid w:val="007C6A86"/>
    <w:rsid w:val="0080127B"/>
    <w:rsid w:val="00812B92"/>
    <w:rsid w:val="00820AF6"/>
    <w:rsid w:val="008A57A2"/>
    <w:rsid w:val="008C2FE9"/>
    <w:rsid w:val="008E7821"/>
    <w:rsid w:val="008E7C7D"/>
    <w:rsid w:val="00971F4B"/>
    <w:rsid w:val="009816B9"/>
    <w:rsid w:val="009D1DC4"/>
    <w:rsid w:val="009E4DBC"/>
    <w:rsid w:val="00A646F7"/>
    <w:rsid w:val="00AA4438"/>
    <w:rsid w:val="00AB386C"/>
    <w:rsid w:val="00AC71D9"/>
    <w:rsid w:val="00B02055"/>
    <w:rsid w:val="00B271F9"/>
    <w:rsid w:val="00B314E7"/>
    <w:rsid w:val="00B507EB"/>
    <w:rsid w:val="00B75610"/>
    <w:rsid w:val="00BE4E6B"/>
    <w:rsid w:val="00BF7C2F"/>
    <w:rsid w:val="00C018F3"/>
    <w:rsid w:val="00C202DE"/>
    <w:rsid w:val="00C32FF7"/>
    <w:rsid w:val="00C37EB3"/>
    <w:rsid w:val="00C8683D"/>
    <w:rsid w:val="00C86FD7"/>
    <w:rsid w:val="00CC6A80"/>
    <w:rsid w:val="00CE3508"/>
    <w:rsid w:val="00D01E10"/>
    <w:rsid w:val="00D237B3"/>
    <w:rsid w:val="00D56354"/>
    <w:rsid w:val="00D917DB"/>
    <w:rsid w:val="00DB67D6"/>
    <w:rsid w:val="00DD5F6E"/>
    <w:rsid w:val="00E01CA3"/>
    <w:rsid w:val="00E077CB"/>
    <w:rsid w:val="00EA7D7F"/>
    <w:rsid w:val="00EF1A43"/>
    <w:rsid w:val="00F126D2"/>
    <w:rsid w:val="00F33265"/>
    <w:rsid w:val="00F47A61"/>
    <w:rsid w:val="00F74AE2"/>
    <w:rsid w:val="00F81CAA"/>
    <w:rsid w:val="00FA461D"/>
    <w:rsid w:val="1DF562AC"/>
    <w:rsid w:val="2B2814A9"/>
    <w:rsid w:val="52D44062"/>
    <w:rsid w:val="57C56B72"/>
    <w:rsid w:val="5D9C6485"/>
    <w:rsid w:val="620D133E"/>
    <w:rsid w:val="6A640C90"/>
    <w:rsid w:val="7B9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759</Words>
  <Characters>4328</Characters>
  <Lines>36</Lines>
  <Paragraphs>10</Paragraphs>
  <TotalTime>1</TotalTime>
  <ScaleCrop>false</ScaleCrop>
  <LinksUpToDate>false</LinksUpToDate>
  <CharactersWithSpaces>5077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2021-06-15T06:19:00Z</dcterms:created>
  <dc:creator>胡骁潇</dc:creator>
  <cp:lastModifiedBy>admin</cp:lastModifiedBy>
  <dcterms:modified xsi:type="dcterms:W3CDTF">2022-11-14T01:53:32Z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F38CDB0A342847339B79C7443BD612BA</vt:lpwstr>
  </property>
</Properties>
</file>