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jc w:val="center"/>
        <w:rPr>
          <w:rFonts w:ascii="黑体" w:hAnsi="黑体" w:eastAsia="黑体"/>
          <w:b/>
          <w:sz w:val="28"/>
          <w:szCs w:val="28"/>
        </w:rPr>
      </w:pPr>
      <w:r>
        <w:rPr>
          <w:rFonts w:hint="eastAsia" w:ascii="黑体" w:hAnsi="黑体" w:eastAsia="黑体"/>
          <w:b/>
          <w:sz w:val="28"/>
          <w:szCs w:val="28"/>
        </w:rPr>
        <w:t>兴银理财天天万利宝稳利净值型理财产品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11"/>
        <w:tblW w:w="759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6"/>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6"/>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个人投资者适用</w:t>
            </w: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姓名</w:t>
            </w:r>
          </w:p>
        </w:tc>
        <w:tc>
          <w:tcPr>
            <w:tcW w:w="5061" w:type="dxa"/>
            <w:gridSpan w:val="3"/>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证件类型</w:t>
            </w:r>
          </w:p>
        </w:tc>
        <w:tc>
          <w:tcPr>
            <w:tcW w:w="1384" w:type="dxa"/>
            <w:shd w:val="solid" w:color="FFFFFF" w:fill="FFFFFF"/>
            <w:vAlign w:val="center"/>
          </w:tcPr>
          <w:p>
            <w:pPr>
              <w:spacing w:line="320" w:lineRule="exact"/>
              <w:jc w:val="left"/>
              <w:rPr>
                <w:rFonts w:ascii="宋体" w:hAnsi="宋体"/>
                <w:b/>
                <w:bCs/>
                <w:sz w:val="18"/>
                <w:szCs w:val="18"/>
              </w:rPr>
            </w:pPr>
          </w:p>
        </w:tc>
        <w:tc>
          <w:tcPr>
            <w:tcW w:w="1234"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证件号码</w:t>
            </w:r>
          </w:p>
        </w:tc>
        <w:tc>
          <w:tcPr>
            <w:tcW w:w="2443" w:type="dxa"/>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联系电话</w:t>
            </w:r>
          </w:p>
        </w:tc>
        <w:tc>
          <w:tcPr>
            <w:tcW w:w="1384" w:type="dxa"/>
            <w:shd w:val="solid" w:color="FFFFFF" w:fill="FFFFFF"/>
            <w:vAlign w:val="center"/>
          </w:tcPr>
          <w:p>
            <w:pPr>
              <w:spacing w:line="320" w:lineRule="exact"/>
              <w:jc w:val="left"/>
              <w:rPr>
                <w:rFonts w:ascii="宋体" w:hAnsi="宋体"/>
                <w:b/>
                <w:bCs/>
                <w:sz w:val="18"/>
                <w:szCs w:val="18"/>
              </w:rPr>
            </w:pPr>
          </w:p>
        </w:tc>
        <w:tc>
          <w:tcPr>
            <w:tcW w:w="1234"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电子邮箱</w:t>
            </w:r>
          </w:p>
        </w:tc>
        <w:tc>
          <w:tcPr>
            <w:tcW w:w="2443" w:type="dxa"/>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联系地址</w:t>
            </w:r>
          </w:p>
        </w:tc>
        <w:tc>
          <w:tcPr>
            <w:tcW w:w="5061" w:type="dxa"/>
            <w:gridSpan w:val="3"/>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
                <w:bCs/>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b/>
                <w:bCs/>
                <w:sz w:val="18"/>
                <w:szCs w:val="18"/>
              </w:rPr>
            </w:pPr>
            <w:r>
              <w:rPr>
                <w:rFonts w:hint="eastAsia" w:ascii="宋体" w:hAnsi="宋体"/>
                <w:b/>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6"/>
              <w:pBdr>
                <w:bottom w:val="none" w:color="auto" w:sz="0" w:space="0"/>
              </w:pBdr>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b/>
                <w:bCs/>
                <w:sz w:val="18"/>
                <w:szCs w:val="18"/>
              </w:rPr>
            </w:pPr>
            <w:r>
              <w:rPr>
                <w:rFonts w:hint="eastAsia" w:hAnsi="宋体"/>
                <w:sz w:val="18"/>
                <w:szCs w:val="18"/>
              </w:rPr>
              <w:t>★</w:t>
            </w:r>
            <w:r>
              <w:rPr>
                <w:rFonts w:hint="eastAsia" w:ascii="宋体" w:hAnsi="宋体"/>
                <w:b/>
                <w:bCs/>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 直销：产品管理人销售</w:t>
            </w:r>
          </w:p>
          <w:p>
            <w:pPr>
              <w:spacing w:line="320" w:lineRule="exact"/>
              <w:jc w:val="left"/>
              <w:rPr>
                <w:rFonts w:ascii="宋体" w:hAnsi="宋体"/>
                <w:bCs/>
                <w:sz w:val="18"/>
                <w:szCs w:val="18"/>
              </w:rPr>
            </w:pPr>
            <w:r>
              <w:rPr>
                <w:rFonts w:asciiTheme="majorEastAsia" w:hAnsiTheme="majorEastAsia" w:eastAsiaTheme="majorEastAsia"/>
                <w:bCs/>
                <w:color w:val="000000" w:themeColor="text1"/>
                <w:sz w:val="18"/>
                <w:szCs w:val="18"/>
              </w:rPr>
              <w:t>■</w:t>
            </w:r>
            <w:r>
              <w:rPr>
                <w:rFonts w:hint="eastAsia" w:asciiTheme="majorEastAsia" w:hAnsiTheme="majorEastAsia" w:eastAsiaTheme="majorEastAsia"/>
                <w:bCs/>
                <w:sz w:val="18"/>
                <w:szCs w:val="18"/>
              </w:rPr>
              <w:t xml:space="preserve">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机构名称</w:t>
            </w:r>
          </w:p>
        </w:tc>
        <w:tc>
          <w:tcPr>
            <w:tcW w:w="5061" w:type="dxa"/>
            <w:gridSpan w:val="3"/>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机构简介</w:t>
            </w:r>
          </w:p>
        </w:tc>
        <w:tc>
          <w:tcPr>
            <w:tcW w:w="5061" w:type="dxa"/>
            <w:gridSpan w:val="3"/>
            <w:shd w:val="solid" w:color="FFFFFF" w:fill="FFFFFF"/>
            <w:vAlign w:val="center"/>
          </w:tcPr>
          <w:p>
            <w:pPr>
              <w:pStyle w:val="15"/>
              <w:jc w:val="both"/>
              <w:rPr>
                <w:rFonts w:hAnsi="宋体"/>
                <w:bCs/>
                <w:sz w:val="18"/>
                <w:szCs w:val="18"/>
              </w:rPr>
            </w:pP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6"/>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6"/>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r>
              <w:rPr>
                <w:rFonts w:ascii="宋体" w:hAnsi="宋体"/>
                <w:u w:val="single"/>
              </w:rPr>
              <w:t xml:space="preserve">　                     </w:t>
            </w:r>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w:t>
      </w:r>
      <w:r>
        <w:rPr>
          <w:rFonts w:ascii="宋体" w:hAnsi="宋体" w:cs="仿宋_GB2312"/>
          <w:kern w:val="0"/>
          <w:sz w:val="18"/>
          <w:szCs w:val="18"/>
        </w:rPr>
        <w:t>乙方销售性质</w:t>
      </w:r>
    </w:p>
    <w:p>
      <w:pPr>
        <w:widowControl/>
        <w:spacing w:line="360" w:lineRule="auto"/>
        <w:jc w:val="left"/>
        <w:rPr>
          <w:rFonts w:ascii="宋体" w:hAnsi="宋体" w:cs="仿宋_GB2312"/>
          <w:kern w:val="0"/>
          <w:sz w:val="18"/>
          <w:szCs w:val="18"/>
        </w:rPr>
      </w:pPr>
      <w:r>
        <w:rPr>
          <w:rFonts w:hint="eastAsia" w:asciiTheme="majorEastAsia" w:hAnsiTheme="majorEastAsia" w:eastAsiaTheme="majorEastAsia"/>
          <w:bCs/>
          <w:sz w:val="18"/>
          <w:szCs w:val="18"/>
        </w:rPr>
        <w:t xml:space="preserve">□ </w:t>
      </w:r>
      <w:r>
        <w:rPr>
          <w:rFonts w:hint="eastAsia" w:ascii="宋体" w:hAnsi="宋体" w:cs="仿宋_GB2312"/>
          <w:kern w:val="0"/>
          <w:sz w:val="18"/>
          <w:szCs w:val="18"/>
        </w:rPr>
        <w:t>直销适用</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理财产品为乙方所发行的理财产品，乙方既作为理财产品的销售机构，又是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asciiTheme="majorEastAsia" w:hAnsiTheme="majorEastAsia" w:eastAsiaTheme="majorEastAsia"/>
          <w:bCs/>
          <w:color w:val="000000" w:themeColor="text1"/>
          <w:sz w:val="18"/>
          <w:szCs w:val="18"/>
        </w:rPr>
        <w:t>■</w:t>
      </w:r>
      <w:r>
        <w:rPr>
          <w:rFonts w:hint="eastAsia" w:asciiTheme="majorEastAsia" w:hAnsiTheme="majorEastAsia" w:eastAsiaTheme="majorEastAsia"/>
          <w:bCs/>
          <w:sz w:val="18"/>
          <w:szCs w:val="18"/>
        </w:rPr>
        <w:t xml:space="preserve"> </w:t>
      </w:r>
      <w:r>
        <w:rPr>
          <w:rFonts w:hint="eastAsia" w:ascii="宋体" w:hAnsi="宋体" w:cs="仿宋_GB2312"/>
          <w:kern w:val="0"/>
          <w:sz w:val="18"/>
          <w:szCs w:val="18"/>
        </w:rPr>
        <w:t>代销适用</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将理财产品分为【】个风险等级</w:t>
      </w:r>
      <w:r>
        <w:rPr>
          <w:rFonts w:ascii="宋体" w:hAnsi="宋体" w:cs="仿宋_GB2312"/>
          <w:kern w:val="0"/>
          <w:sz w:val="18"/>
          <w:szCs w:val="18"/>
        </w:rPr>
        <w:t>：</w:t>
      </w:r>
      <w:r>
        <w:rPr>
          <w:rFonts w:hint="eastAsia" w:ascii="宋体" w:hAnsi="宋体" w:cs="仿宋_GB2312"/>
          <w:kern w:val="0"/>
          <w:sz w:val="18"/>
          <w:szCs w:val="18"/>
        </w:rPr>
        <w:t xml:space="preserve">【 </w:t>
      </w:r>
      <w:r>
        <w:rPr>
          <w:rFonts w:ascii="宋体" w:hAnsi="宋体" w:cs="仿宋_GB2312"/>
          <w:kern w:val="0"/>
          <w:sz w:val="18"/>
          <w:szCs w:val="18"/>
        </w:rPr>
        <w:t xml:space="preserve">                                   </w:t>
      </w:r>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w:t>
      </w:r>
      <w:r>
        <w:rPr>
          <w:rFonts w:hint="eastAsia" w:ascii="宋体" w:hAnsi="宋体" w:cs="仿宋_GB2312"/>
          <w:kern w:val="0"/>
          <w:sz w:val="18"/>
          <w:szCs w:val="18"/>
        </w:rPr>
        <w:t>【】</w:t>
      </w:r>
      <w:r>
        <w:rPr>
          <w:rFonts w:ascii="宋体" w:hAnsi="宋体" w:cs="仿宋_GB2312"/>
          <w:kern w:val="0"/>
          <w:sz w:val="18"/>
          <w:szCs w:val="18"/>
        </w:rPr>
        <w:t>个</w:t>
      </w:r>
      <w:r>
        <w:rPr>
          <w:rFonts w:hint="eastAsia" w:ascii="宋体" w:hAnsi="宋体" w:cs="仿宋_GB2312"/>
          <w:kern w:val="0"/>
          <w:sz w:val="18"/>
          <w:szCs w:val="18"/>
        </w:rPr>
        <w:t xml:space="preserve">等级：【 </w:t>
      </w:r>
      <w:r>
        <w:rPr>
          <w:rFonts w:ascii="宋体" w:hAnsi="宋体" w:cs="仿宋_GB2312"/>
          <w:kern w:val="0"/>
          <w:sz w:val="18"/>
          <w:szCs w:val="18"/>
        </w:rPr>
        <w:t xml:space="preserve">                                </w:t>
      </w:r>
      <w:r>
        <w:rPr>
          <w:rFonts w:hint="eastAsia" w:ascii="宋体" w:hAnsi="宋体" w:cs="仿宋_GB2312"/>
          <w:kern w:val="0"/>
          <w:sz w:val="18"/>
          <w:szCs w:val="18"/>
        </w:rPr>
        <w:t>】。</w:t>
      </w:r>
      <w:bookmarkStart w:id="0" w:name="_GoBack"/>
      <w:bookmarkEnd w:id="0"/>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甲方应根据风险承受能力评估结果选择与其风险承受能力相匹配的风险等级的理财产品，不得购买高于甲方风险承受能力的理财产品。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5、甲方保证投资资金来源合法且为本人有权</w:t>
      </w:r>
      <w:r>
        <w:rPr>
          <w:rFonts w:ascii="宋体" w:hAnsi="宋体" w:cs="仿宋_GB2312"/>
          <w:kern w:val="0"/>
          <w:sz w:val="18"/>
          <w:szCs w:val="18"/>
        </w:rPr>
        <w:t>处分的合法</w:t>
      </w:r>
      <w:r>
        <w:rPr>
          <w:rFonts w:hint="eastAsia" w:ascii="宋体" w:hAnsi="宋体" w:cs="仿宋_GB2312"/>
          <w:kern w:val="0"/>
          <w:sz w:val="18"/>
          <w:szCs w:val="18"/>
        </w:rPr>
        <w:t>资金，不存在使用贷款、发行债券等筹集的非自有资金投资的情况，投资行为符合法律法规及相关监管部门的规定。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9、甲方在此同意并授权乙方有权根据甲方所勾选的业务申请类型对甲方相关资金账户进行资金划扣等相关操作。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10、对于甲方通过乙方的网上银行、手机银行、可视柜台等线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11、甲方在此确认乙方业务</w:t>
      </w:r>
      <w:r>
        <w:rPr>
          <w:rFonts w:ascii="宋体" w:hAnsi="宋体" w:cs="仿宋_GB2312"/>
          <w:kern w:val="0"/>
          <w:sz w:val="18"/>
          <w:szCs w:val="18"/>
        </w:rPr>
        <w:t>申请和办理</w:t>
      </w:r>
      <w:r>
        <w:rPr>
          <w:rFonts w:hint="eastAsia" w:ascii="宋体" w:hAnsi="宋体" w:cs="仿宋_GB2312"/>
          <w:kern w:val="0"/>
          <w:sz w:val="18"/>
          <w:szCs w:val="18"/>
        </w:rPr>
        <w:t>的系统记录以及录音、录像等</w:t>
      </w:r>
      <w:r>
        <w:rPr>
          <w:rFonts w:ascii="宋体" w:hAnsi="宋体" w:cs="仿宋_GB2312"/>
          <w:kern w:val="0"/>
          <w:sz w:val="18"/>
          <w:szCs w:val="18"/>
        </w:rPr>
        <w:t>信息</w:t>
      </w:r>
      <w:r>
        <w:rPr>
          <w:rFonts w:hint="eastAsia" w:ascii="宋体" w:hAnsi="宋体" w:cs="仿宋_GB2312"/>
          <w:kern w:val="0"/>
          <w:sz w:val="18"/>
          <w:szCs w:val="18"/>
        </w:rPr>
        <w:t>构成对甲方操作行为（包括但不限于认购</w:t>
      </w:r>
      <w:r>
        <w:rPr>
          <w:rFonts w:ascii="宋体" w:hAnsi="宋体" w:cs="仿宋_GB2312"/>
          <w:kern w:val="0"/>
          <w:sz w:val="18"/>
          <w:szCs w:val="18"/>
        </w:rPr>
        <w:t>、申购</w:t>
      </w:r>
      <w:r>
        <w:rPr>
          <w:rFonts w:hint="eastAsia" w:ascii="宋体" w:hAnsi="宋体" w:cs="仿宋_GB2312"/>
          <w:kern w:val="0"/>
          <w:sz w:val="18"/>
          <w:szCs w:val="18"/>
        </w:rPr>
        <w:t>、赎回）的终局证据，甲方同意乙方上述记录行为，并且在甲方和乙方或产品</w:t>
      </w:r>
      <w:r>
        <w:rPr>
          <w:rFonts w:ascii="宋体" w:hAnsi="宋体" w:cs="仿宋_GB2312"/>
          <w:kern w:val="0"/>
          <w:sz w:val="18"/>
          <w:szCs w:val="18"/>
        </w:rPr>
        <w:t>管理人</w:t>
      </w:r>
      <w:r>
        <w:rPr>
          <w:rFonts w:hint="eastAsia" w:ascii="宋体" w:hAnsi="宋体" w:cs="仿宋_GB2312"/>
          <w:kern w:val="0"/>
          <w:sz w:val="18"/>
          <w:szCs w:val="18"/>
        </w:rPr>
        <w:t>发生争议时可以作为合法有效的证据使用。</w:t>
      </w:r>
      <w:r>
        <w:rPr>
          <w:rFonts w:hint="eastAsia" w:ascii="黑体" w:hAnsi="黑体" w:eastAsia="黑体" w:cs="仿宋_GB2312"/>
          <w:kern w:val="0"/>
          <w:sz w:val="18"/>
          <w:szCs w:val="18"/>
        </w:rPr>
        <w:t>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以及非居民金融账户涉税信息尽职调查等需要，收集调取投资者开户留存的有效身份证件或者其他身份证明文件信息、交易记录、数据信息、金融账户和其他资料，同时可向产品管理人、产品托管人、监管机构、自律组织、理财登记备案机构、金融交易对手方、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1、由于国家有关法律、法规、规章、政策的改变、紧急措施的出台而导致甲方蒙受损失或协议终止的，乙方不承担责任。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2、由于不可抗力或乙方无过错且无法防止的外因而导致的交易中断、延误等风险及损失，乙方不承担责任。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3、非因乙方原因（包括但不限于甲方遗失本协议、协议被盗用、交易账户被司法机关等有权部门冻结、扣划等原因）造成的损失，乙方不承担责任。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1、本协议在履行过程中发生的争议，由甲乙双方协商解决，协商不成的，任何一方可向乙方</w:t>
      </w:r>
      <w:r>
        <w:rPr>
          <w:rFonts w:ascii="宋体" w:hAnsi="宋体" w:cs="仿宋_GB2312"/>
          <w:kern w:val="0"/>
          <w:sz w:val="18"/>
          <w:szCs w:val="18"/>
        </w:rPr>
        <w:t>住所地</w:t>
      </w:r>
      <w:r>
        <w:rPr>
          <w:rFonts w:hint="eastAsia" w:ascii="宋体" w:hAnsi="宋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甲方通过乙方线下渠道购买理财产品的，本协议经甲方签字且乙方盖柜面业务章后生效（为避免歧义，乙方相关业务人员在本协议的签字仅为乙方内部风险控制要求，并不作为协议成立的条件，下同）。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kern w:val="0"/>
          <w:sz w:val="18"/>
          <w:szCs w:val="18"/>
        </w:rPr>
      </w:pP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甲方声明：</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w:t>
      </w:r>
      <w:r>
        <w:rPr>
          <w:rFonts w:ascii="宋体" w:hAnsi="宋体" w:cs="仿宋_GB2312"/>
          <w:b/>
          <w:kern w:val="0"/>
          <w:sz w:val="18"/>
          <w:szCs w:val="18"/>
        </w:rPr>
        <w:t>1)甲方已经收到所购买</w:t>
      </w:r>
      <w:r>
        <w:rPr>
          <w:rFonts w:hint="eastAsia" w:ascii="宋体" w:hAnsi="宋体" w:cs="仿宋_GB2312"/>
          <w:b/>
          <w:kern w:val="0"/>
          <w:sz w:val="18"/>
          <w:szCs w:val="18"/>
        </w:rPr>
        <w:t>乙方销售的理财产品的《投资</w:t>
      </w:r>
      <w:r>
        <w:rPr>
          <w:rFonts w:ascii="宋体" w:hAnsi="宋体" w:cs="仿宋_GB2312"/>
          <w:b/>
          <w:kern w:val="0"/>
          <w:sz w:val="18"/>
          <w:szCs w:val="18"/>
        </w:rPr>
        <w:t>协议书</w:t>
      </w:r>
      <w:r>
        <w:rPr>
          <w:rFonts w:hint="eastAsia" w:ascii="宋体" w:hAnsi="宋体" w:cs="仿宋_GB2312"/>
          <w:b/>
          <w:kern w:val="0"/>
          <w:sz w:val="18"/>
          <w:szCs w:val="18"/>
        </w:rPr>
        <w:t>》、</w:t>
      </w:r>
      <w:r>
        <w:rPr>
          <w:rFonts w:ascii="宋体" w:hAnsi="宋体" w:cs="仿宋_GB2312"/>
          <w:b/>
          <w:kern w:val="0"/>
          <w:sz w:val="18"/>
          <w:szCs w:val="18"/>
        </w:rPr>
        <w:t>《</w:t>
      </w:r>
      <w:r>
        <w:rPr>
          <w:rFonts w:hint="eastAsia" w:ascii="宋体" w:hAnsi="宋体" w:cs="仿宋_GB2312"/>
          <w:b/>
          <w:kern w:val="0"/>
          <w:sz w:val="18"/>
          <w:szCs w:val="18"/>
        </w:rPr>
        <w:t>产品说明书</w:t>
      </w:r>
      <w:r>
        <w:rPr>
          <w:rFonts w:ascii="宋体" w:hAnsi="宋体" w:cs="仿宋_GB2312"/>
          <w:b/>
          <w:kern w:val="0"/>
          <w:sz w:val="18"/>
          <w:szCs w:val="18"/>
        </w:rPr>
        <w:t>》</w:t>
      </w:r>
      <w:r>
        <w:rPr>
          <w:rFonts w:hint="eastAsia" w:ascii="宋体" w:hAnsi="宋体" w:cs="仿宋_GB2312"/>
          <w:b/>
          <w:kern w:val="0"/>
          <w:sz w:val="18"/>
          <w:szCs w:val="18"/>
        </w:rPr>
        <w:t>、</w:t>
      </w:r>
      <w:r>
        <w:rPr>
          <w:rFonts w:ascii="宋体" w:hAnsi="宋体" w:cs="仿宋_GB2312"/>
          <w:b/>
          <w:kern w:val="0"/>
          <w:sz w:val="18"/>
          <w:szCs w:val="18"/>
        </w:rPr>
        <w:t>《</w:t>
      </w:r>
      <w:r>
        <w:rPr>
          <w:rFonts w:hint="eastAsia" w:ascii="宋体" w:hAnsi="宋体" w:cs="仿宋_GB2312"/>
          <w:b/>
          <w:kern w:val="0"/>
          <w:sz w:val="18"/>
          <w:szCs w:val="18"/>
        </w:rPr>
        <w:t>（代理）销售协议书</w:t>
      </w:r>
      <w:r>
        <w:rPr>
          <w:rFonts w:ascii="宋体" w:hAnsi="宋体" w:cs="仿宋_GB2312"/>
          <w:b/>
          <w:kern w:val="0"/>
          <w:sz w:val="18"/>
          <w:szCs w:val="18"/>
        </w:rPr>
        <w:t>》</w:t>
      </w:r>
      <w:r>
        <w:rPr>
          <w:rFonts w:hint="eastAsia" w:ascii="宋体" w:hAnsi="宋体" w:cs="仿宋_GB2312"/>
          <w:b/>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宋体" w:hAnsi="宋体" w:cs="仿宋_GB2312"/>
          <w:b/>
          <w:kern w:val="0"/>
          <w:sz w:val="18"/>
          <w:szCs w:val="18"/>
        </w:rPr>
        <w:t>、申购</w:t>
      </w:r>
      <w:r>
        <w:rPr>
          <w:rFonts w:hint="eastAsia" w:ascii="宋体" w:hAnsi="宋体" w:cs="仿宋_GB2312"/>
          <w:b/>
          <w:kern w:val="0"/>
          <w:sz w:val="18"/>
          <w:szCs w:val="18"/>
        </w:rPr>
        <w:t>、赎回理财产品所产生的相关风险和不利后果。</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w:t>
      </w:r>
      <w:r>
        <w:rPr>
          <w:rFonts w:ascii="宋体" w:hAnsi="宋体" w:cs="仿宋_GB2312"/>
          <w:b/>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宋体" w:hAnsi="宋体" w:cs="仿宋_GB2312"/>
          <w:b/>
          <w:kern w:val="0"/>
          <w:sz w:val="18"/>
          <w:szCs w:val="18"/>
        </w:rPr>
      </w:pPr>
      <w:r>
        <w:rPr>
          <w:rFonts w:hint="eastAsia" w:ascii="宋体" w:hAnsi="宋体" w:cs="仿宋_GB2312"/>
          <w:b/>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pPr>
        <w:widowControl/>
        <w:spacing w:line="360" w:lineRule="auto"/>
        <w:ind w:firstLine="361" w:firstLineChars="200"/>
        <w:jc w:val="left"/>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12"/>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280" w:lineRule="exact"/>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280" w:lineRule="exact"/>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280" w:lineRule="exact"/>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8070"/>
                <w:tab w:val="right" w:pos="8306"/>
              </w:tabs>
              <w:autoSpaceDE w:val="0"/>
              <w:autoSpaceDN w:val="0"/>
              <w:adjustRightInd w:val="0"/>
              <w:snapToGrid w:val="0"/>
              <w:spacing w:line="280" w:lineRule="exact"/>
              <w:rPr>
                <w:rFonts w:ascii="黑体" w:hAnsi="黑体" w:eastAsia="黑体"/>
                <w:kern w:val="0"/>
                <w:sz w:val="18"/>
                <w:szCs w:val="18"/>
              </w:rPr>
            </w:pPr>
            <w:r>
              <w:rPr>
                <w:rFonts w:ascii="黑体" w:hAnsi="黑体" w:eastAsia="黑体"/>
                <w:kern w:val="0"/>
                <w:sz w:val="18"/>
                <w:szCs w:val="18"/>
              </w:rPr>
              <w:t>1、在签署本《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485" w:hRule="exact"/>
        </w:trPr>
        <w:tc>
          <w:tcPr>
            <w:tcW w:w="675" w:type="dxa"/>
            <w:vMerge w:val="restart"/>
            <w:vAlign w:val="center"/>
          </w:tcPr>
          <w:p>
            <w:pPr>
              <w:jc w:val="center"/>
              <w:rPr>
                <w:b/>
                <w:kern w:val="0"/>
                <w:sz w:val="18"/>
                <w:szCs w:val="18"/>
              </w:rPr>
            </w:pPr>
            <w:r>
              <w:rPr>
                <w:rFonts w:hint="eastAsia"/>
                <w:b/>
                <w:kern w:val="0"/>
                <w:sz w:val="18"/>
                <w:szCs w:val="18"/>
              </w:rPr>
              <w:t>甲方签署栏</w:t>
            </w:r>
          </w:p>
        </w:tc>
        <w:tc>
          <w:tcPr>
            <w:tcW w:w="851" w:type="dxa"/>
          </w:tcPr>
          <w:p>
            <w:pPr>
              <w:rPr>
                <w:b/>
                <w:kern w:val="0"/>
                <w:sz w:val="18"/>
                <w:szCs w:val="18"/>
              </w:rPr>
            </w:pPr>
            <w:r>
              <w:rPr>
                <w:rFonts w:hint="eastAsia"/>
                <w:b/>
                <w:kern w:val="0"/>
                <w:sz w:val="18"/>
                <w:szCs w:val="18"/>
              </w:rPr>
              <w:t>个人投资者适用</w:t>
            </w:r>
          </w:p>
        </w:tc>
        <w:tc>
          <w:tcPr>
            <w:tcW w:w="6998" w:type="dxa"/>
          </w:tcPr>
          <w:p>
            <w:pPr>
              <w:rPr>
                <w:kern w:val="0"/>
                <w:sz w:val="18"/>
                <w:szCs w:val="18"/>
              </w:rPr>
            </w:pPr>
            <w:r>
              <w:rPr>
                <w:rFonts w:hint="eastAsia"/>
                <w:kern w:val="0"/>
                <w:sz w:val="18"/>
                <w:szCs w:val="18"/>
              </w:rPr>
              <w:t>甲方（签字）：</w:t>
            </w:r>
          </w:p>
          <w:p>
            <w:pPr>
              <w:rPr>
                <w:b/>
                <w:kern w:val="0"/>
                <w:sz w:val="18"/>
                <w:szCs w:val="18"/>
              </w:rPr>
            </w:pPr>
          </w:p>
          <w:p>
            <w:pPr>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056" w:hRule="atLeast"/>
        </w:trPr>
        <w:tc>
          <w:tcPr>
            <w:tcW w:w="675" w:type="dxa"/>
            <w:vMerge w:val="continue"/>
          </w:tcPr>
          <w:p>
            <w:pPr>
              <w:rPr>
                <w:b/>
                <w:kern w:val="0"/>
                <w:sz w:val="18"/>
                <w:szCs w:val="18"/>
              </w:rPr>
            </w:pPr>
          </w:p>
        </w:tc>
        <w:tc>
          <w:tcPr>
            <w:tcW w:w="851" w:type="dxa"/>
          </w:tcPr>
          <w:p>
            <w:pPr>
              <w:rPr>
                <w:b/>
                <w:kern w:val="0"/>
                <w:sz w:val="18"/>
                <w:szCs w:val="18"/>
              </w:rPr>
            </w:pPr>
            <w:r>
              <w:rPr>
                <w:rFonts w:hint="eastAsia"/>
                <w:b/>
                <w:kern w:val="0"/>
                <w:sz w:val="18"/>
                <w:szCs w:val="18"/>
              </w:rPr>
              <w:t>机构投资者适用</w:t>
            </w:r>
          </w:p>
        </w:tc>
        <w:tc>
          <w:tcPr>
            <w:tcW w:w="6998" w:type="dxa"/>
          </w:tcPr>
          <w:p>
            <w:pPr>
              <w:rPr>
                <w:rFonts w:cs="Arial"/>
                <w:kern w:val="0"/>
                <w:sz w:val="18"/>
                <w:szCs w:val="18"/>
              </w:rPr>
            </w:pPr>
            <w:r>
              <w:rPr>
                <w:rFonts w:hint="eastAsia"/>
                <w:kern w:val="0"/>
                <w:sz w:val="18"/>
                <w:szCs w:val="18"/>
              </w:rPr>
              <w:t>甲方</w:t>
            </w:r>
            <w:r>
              <w:rPr>
                <w:rFonts w:hint="eastAsia" w:cs="Arial"/>
                <w:kern w:val="0"/>
                <w:sz w:val="18"/>
                <w:szCs w:val="18"/>
              </w:rPr>
              <w:t>（盖章）：</w:t>
            </w:r>
          </w:p>
          <w:p>
            <w:pPr>
              <w:rPr>
                <w:rFonts w:cs="Arial"/>
                <w:kern w:val="0"/>
                <w:sz w:val="18"/>
                <w:szCs w:val="18"/>
              </w:rPr>
            </w:pPr>
          </w:p>
          <w:p>
            <w:pPr>
              <w:rPr>
                <w:rFonts w:cs="Arial"/>
                <w:kern w:val="0"/>
                <w:sz w:val="18"/>
                <w:szCs w:val="18"/>
              </w:rPr>
            </w:pPr>
            <w:r>
              <w:rPr>
                <w:rFonts w:hint="eastAsia" w:cs="Arial"/>
                <w:kern w:val="0"/>
                <w:sz w:val="18"/>
                <w:szCs w:val="18"/>
              </w:rPr>
              <w:t>甲方法定代表人或授权代理人（签字或盖章）：</w:t>
            </w:r>
          </w:p>
          <w:p>
            <w:pPr>
              <w:rPr>
                <w:b/>
                <w:kern w:val="0"/>
                <w:sz w:val="18"/>
                <w:szCs w:val="18"/>
              </w:rPr>
            </w:pPr>
          </w:p>
          <w:p>
            <w:pPr>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63" w:hRule="atLeast"/>
        </w:trPr>
        <w:tc>
          <w:tcPr>
            <w:tcW w:w="675" w:type="dxa"/>
          </w:tcPr>
          <w:p>
            <w:pPr>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pPr>
              <w:rPr>
                <w:b/>
                <w:kern w:val="0"/>
                <w:sz w:val="18"/>
                <w:szCs w:val="18"/>
              </w:rPr>
            </w:pPr>
          </w:p>
          <w:p>
            <w:pPr>
              <w:rPr>
                <w:kern w:val="0"/>
                <w:sz w:val="18"/>
                <w:szCs w:val="18"/>
              </w:rPr>
            </w:pPr>
            <w:r>
              <w:rPr>
                <w:rFonts w:hint="eastAsia"/>
                <w:kern w:val="0"/>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3017656"/>
    </w:sdtPr>
    <w:sdtContent>
      <w:p>
        <w:pPr>
          <w:pStyle w:val="5"/>
          <w:jc w:val="center"/>
        </w:pPr>
        <w:r>
          <w:fldChar w:fldCharType="begin"/>
        </w:r>
        <w:r>
          <w:instrText xml:space="preserve">PAGE   \* MERGEFORMAT</w:instrText>
        </w:r>
        <w:r>
          <w:fldChar w:fldCharType="separate"/>
        </w:r>
        <w:r>
          <w:rPr>
            <w:lang w:val="zh-CN"/>
          </w:rPr>
          <w:t>3</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ckThinLargeGap" w:color="auto" w:sz="24" w:space="10"/>
      </w:pBdr>
      <w:tabs>
        <w:tab w:val="right" w:pos="8280"/>
      </w:tabs>
      <w:wordWrap w:val="0"/>
      <w:adjustRightInd w:val="0"/>
      <w:jc w:val="right"/>
      <w:rPr>
        <w:b/>
      </w:rPr>
    </w:pPr>
    <w:r>
      <w:rPr>
        <w:rFonts w:hint="eastAsia"/>
      </w:rPr>
      <w:t xml:space="preserve">                             </w:t>
    </w:r>
    <w:r>
      <w:t xml:space="preserve">    </w:t>
    </w:r>
    <w:r>
      <w:rPr>
        <w:rFonts w:hint="eastAsia"/>
      </w:rPr>
      <w:t xml:space="preserve"> </w:t>
    </w:r>
    <w:r>
      <w:t xml:space="preserve">                        </w:t>
    </w:r>
    <w:r>
      <w:rPr>
        <w:rFonts w:hint="eastAsia"/>
      </w:rPr>
      <w:t xml:space="preserve">  </w:t>
    </w:r>
    <w:r>
      <w:rPr>
        <w:b/>
      </w:rPr>
      <w:t xml:space="preserve">  </w:t>
    </w:r>
    <w:r>
      <w:rPr>
        <w:rFonts w:hint="eastAsia"/>
        <w:b/>
      </w:rPr>
      <w:t>（代理）销售协议书</w:t>
    </w:r>
  </w:p>
  <w:p>
    <w:pPr>
      <w:pStyle w:val="6"/>
      <w:pBdr>
        <w:bottom w:val="thickThinLargeGap" w:color="auto" w:sz="24" w:space="10"/>
      </w:pBdr>
      <w:tabs>
        <w:tab w:val="right" w:pos="8280"/>
      </w:tabs>
      <w:wordWrap w:val="0"/>
      <w:adjustRightInd w:val="0"/>
      <w:jc w:val="right"/>
      <w:rPr>
        <w:b/>
      </w:rPr>
    </w:pPr>
    <w:r>
      <w:rPr>
        <w:rFonts w:hint="eastAsia"/>
        <w:b/>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0C0B"/>
    <w:rsid w:val="00002873"/>
    <w:rsid w:val="00014ADA"/>
    <w:rsid w:val="00037EDD"/>
    <w:rsid w:val="000B4762"/>
    <w:rsid w:val="000D6AED"/>
    <w:rsid w:val="000F142C"/>
    <w:rsid w:val="00135B7E"/>
    <w:rsid w:val="00171F73"/>
    <w:rsid w:val="001A1EBB"/>
    <w:rsid w:val="001D5BB4"/>
    <w:rsid w:val="00202984"/>
    <w:rsid w:val="00217DEF"/>
    <w:rsid w:val="00263CF4"/>
    <w:rsid w:val="002A703E"/>
    <w:rsid w:val="002D701A"/>
    <w:rsid w:val="002E7239"/>
    <w:rsid w:val="00311B0C"/>
    <w:rsid w:val="00335DAF"/>
    <w:rsid w:val="003672FE"/>
    <w:rsid w:val="003B7AAC"/>
    <w:rsid w:val="003E41BC"/>
    <w:rsid w:val="003F4EEF"/>
    <w:rsid w:val="003F583B"/>
    <w:rsid w:val="00414551"/>
    <w:rsid w:val="00481E6B"/>
    <w:rsid w:val="00494F0E"/>
    <w:rsid w:val="004B5B82"/>
    <w:rsid w:val="005120A6"/>
    <w:rsid w:val="005856D9"/>
    <w:rsid w:val="005B58BC"/>
    <w:rsid w:val="005C300B"/>
    <w:rsid w:val="005C56CE"/>
    <w:rsid w:val="005E6EDE"/>
    <w:rsid w:val="00601E65"/>
    <w:rsid w:val="00646431"/>
    <w:rsid w:val="00661ECC"/>
    <w:rsid w:val="006F2A2E"/>
    <w:rsid w:val="00707491"/>
    <w:rsid w:val="00715E14"/>
    <w:rsid w:val="00752BF6"/>
    <w:rsid w:val="00756A1D"/>
    <w:rsid w:val="00767C2B"/>
    <w:rsid w:val="00776D40"/>
    <w:rsid w:val="0079123A"/>
    <w:rsid w:val="00792B50"/>
    <w:rsid w:val="007942D5"/>
    <w:rsid w:val="007A251D"/>
    <w:rsid w:val="007C68DE"/>
    <w:rsid w:val="007F3E92"/>
    <w:rsid w:val="008053A3"/>
    <w:rsid w:val="00835E57"/>
    <w:rsid w:val="00850C0B"/>
    <w:rsid w:val="00854BA4"/>
    <w:rsid w:val="00855B8B"/>
    <w:rsid w:val="00862B8A"/>
    <w:rsid w:val="008D2C2D"/>
    <w:rsid w:val="008E7AE8"/>
    <w:rsid w:val="008F3CA6"/>
    <w:rsid w:val="009025C3"/>
    <w:rsid w:val="00917356"/>
    <w:rsid w:val="00966144"/>
    <w:rsid w:val="009D2ED5"/>
    <w:rsid w:val="00A06848"/>
    <w:rsid w:val="00A267DA"/>
    <w:rsid w:val="00A27451"/>
    <w:rsid w:val="00A3186E"/>
    <w:rsid w:val="00A435BF"/>
    <w:rsid w:val="00A47BD1"/>
    <w:rsid w:val="00A81632"/>
    <w:rsid w:val="00A90F0B"/>
    <w:rsid w:val="00AB0B6E"/>
    <w:rsid w:val="00AB5D77"/>
    <w:rsid w:val="00AC6C55"/>
    <w:rsid w:val="00AE373E"/>
    <w:rsid w:val="00B06871"/>
    <w:rsid w:val="00B532B9"/>
    <w:rsid w:val="00BE0150"/>
    <w:rsid w:val="00BE7F00"/>
    <w:rsid w:val="00C26F72"/>
    <w:rsid w:val="00C45B08"/>
    <w:rsid w:val="00CA5938"/>
    <w:rsid w:val="00D3152C"/>
    <w:rsid w:val="00D7199E"/>
    <w:rsid w:val="00D82CA8"/>
    <w:rsid w:val="00DA4E9C"/>
    <w:rsid w:val="00E145A0"/>
    <w:rsid w:val="00E36CAB"/>
    <w:rsid w:val="00E500BC"/>
    <w:rsid w:val="00E71AFA"/>
    <w:rsid w:val="00E725AC"/>
    <w:rsid w:val="00E81507"/>
    <w:rsid w:val="00E9473C"/>
    <w:rsid w:val="00EA72EF"/>
    <w:rsid w:val="00EB3ABC"/>
    <w:rsid w:val="00EC2E2B"/>
    <w:rsid w:val="00EC4779"/>
    <w:rsid w:val="00ED33FA"/>
    <w:rsid w:val="00F53477"/>
    <w:rsid w:val="00F57B20"/>
    <w:rsid w:val="00F86021"/>
    <w:rsid w:val="00F97CA1"/>
    <w:rsid w:val="00FB1694"/>
    <w:rsid w:val="175E2344"/>
    <w:rsid w:val="246F2DE1"/>
    <w:rsid w:val="58FA3AF9"/>
    <w:rsid w:val="6451331B"/>
    <w:rsid w:val="6F5A73C0"/>
    <w:rsid w:val="7F55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semiHidden/>
    <w:unhideWhenUsed/>
    <w:qFormat/>
    <w:uiPriority w:val="99"/>
    <w:rPr>
      <w:b/>
      <w:bCs/>
    </w:rPr>
  </w:style>
  <w:style w:type="paragraph" w:styleId="3">
    <w:name w:val="annotation text"/>
    <w:basedOn w:val="1"/>
    <w:link w:val="16"/>
    <w:unhideWhenUsed/>
    <w:qFormat/>
    <w:uiPriority w:val="0"/>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9">
    <w:name w:val="Hyperlink"/>
    <w:basedOn w:val="8"/>
    <w:unhideWhenUsed/>
    <w:qFormat/>
    <w:uiPriority w:val="99"/>
    <w:rPr>
      <w:color w:val="0563C1" w:themeColor="hyperlink"/>
      <w:u w:val="single"/>
    </w:rPr>
  </w:style>
  <w:style w:type="character" w:styleId="10">
    <w:name w:val="annotation reference"/>
    <w:basedOn w:val="8"/>
    <w:unhideWhenUsed/>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眉 字符"/>
    <w:basedOn w:val="8"/>
    <w:link w:val="6"/>
    <w:qFormat/>
    <w:uiPriority w:val="99"/>
    <w:rPr>
      <w:sz w:val="18"/>
      <w:szCs w:val="18"/>
    </w:rPr>
  </w:style>
  <w:style w:type="character" w:customStyle="1" w:styleId="14">
    <w:name w:val="页脚 字符"/>
    <w:basedOn w:val="8"/>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字符"/>
    <w:basedOn w:val="8"/>
    <w:link w:val="3"/>
    <w:qFormat/>
    <w:uiPriority w:val="99"/>
    <w:rPr>
      <w:rFonts w:ascii="Calibri" w:hAnsi="Calibri" w:eastAsia="宋体" w:cs="宋体"/>
    </w:rPr>
  </w:style>
  <w:style w:type="character" w:customStyle="1" w:styleId="17">
    <w:name w:val="批注主题 字符"/>
    <w:basedOn w:val="16"/>
    <w:link w:val="2"/>
    <w:semiHidden/>
    <w:qFormat/>
    <w:uiPriority w:val="99"/>
    <w:rPr>
      <w:rFonts w:ascii="Calibri" w:hAnsi="Calibri" w:eastAsia="宋体" w:cs="宋体"/>
      <w:b/>
      <w:bCs/>
    </w:rPr>
  </w:style>
  <w:style w:type="character" w:customStyle="1" w:styleId="18">
    <w:name w:val="批注框文本 字符"/>
    <w:basedOn w:val="8"/>
    <w:link w:val="4"/>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字符"/>
    <w:basedOn w:val="8"/>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53B04-2001-41F1-BAC5-D1BFB2F49AD6}">
  <ds:schemaRefs/>
</ds:datastoreItem>
</file>

<file path=docProps/app.xml><?xml version="1.0" encoding="utf-8"?>
<Properties xmlns="http://schemas.openxmlformats.org/officeDocument/2006/extended-properties" xmlns:vt="http://schemas.openxmlformats.org/officeDocument/2006/docPropsVTypes">
  <Template>Normal.dotm</Template>
  <Pages>6</Pages>
  <Words>642</Words>
  <Characters>3662</Characters>
  <Lines>30</Lines>
  <Paragraphs>8</Paragraphs>
  <TotalTime>0</TotalTime>
  <ScaleCrop>false</ScaleCrop>
  <LinksUpToDate>false</LinksUpToDate>
  <CharactersWithSpaces>4296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2021-07-02T07:46:00Z</dcterms:created>
  <dc:creator>胡骁潇</dc:creator>
  <cp:lastModifiedBy>罗钦</cp:lastModifiedBy>
  <dcterms:modified xsi:type="dcterms:W3CDTF">2022-05-04T11:57:25Z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302FC97856FF4187B8A4E8074A5A0C13</vt:lpwstr>
  </property>
</Properties>
</file>