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36"/>
          <w:szCs w:val="36"/>
        </w:rPr>
      </w:pPr>
      <w:r>
        <w:rPr>
          <w:rFonts w:hint="eastAsia" w:ascii="方正小标宋_GBK" w:eastAsia="方正小标宋_GBK"/>
          <w:sz w:val="36"/>
          <w:szCs w:val="36"/>
        </w:rPr>
        <w:t>浙江农商银行系统丰收借记卡章程（</w:t>
      </w:r>
      <w:r>
        <w:rPr>
          <w:rFonts w:ascii="方正小标宋_GBK" w:eastAsia="方正小标宋_GBK"/>
          <w:sz w:val="36"/>
          <w:szCs w:val="36"/>
        </w:rPr>
        <w:t>2022</w:t>
      </w:r>
      <w:r>
        <w:rPr>
          <w:rFonts w:hint="eastAsia" w:ascii="方正小标宋_GBK" w:eastAsia="方正小标宋_GBK"/>
          <w:sz w:val="36"/>
          <w:szCs w:val="36"/>
        </w:rPr>
        <w:t>版）</w:t>
      </w:r>
    </w:p>
    <w:p>
      <w:pPr>
        <w:spacing w:line="560" w:lineRule="exact"/>
        <w:rPr>
          <w:rFonts w:ascii="仿宋_GB2312"/>
          <w:sz w:val="44"/>
          <w:szCs w:val="44"/>
        </w:rPr>
      </w:pPr>
    </w:p>
    <w:p>
      <w:pPr>
        <w:tabs>
          <w:tab w:val="left" w:pos="840"/>
        </w:tabs>
        <w:autoSpaceDE w:val="0"/>
        <w:autoSpaceDN w:val="0"/>
        <w:adjustRightInd w:val="0"/>
        <w:snapToGrid w:val="0"/>
        <w:spacing w:line="560" w:lineRule="exact"/>
        <w:jc w:val="center"/>
        <w:rPr>
          <w:rFonts w:ascii="仿宋_GB2312" w:hAnsi="宋体"/>
          <w:szCs w:val="32"/>
        </w:rPr>
      </w:pPr>
      <w:r>
        <w:rPr>
          <w:rFonts w:hint="eastAsia" w:ascii="黑体" w:hAnsi="宋体" w:eastAsia="黑体"/>
          <w:szCs w:val="32"/>
        </w:rPr>
        <w:t>第一章  总  则</w:t>
      </w:r>
    </w:p>
    <w:p>
      <w:pPr>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b/>
          <w:szCs w:val="32"/>
        </w:rPr>
        <w:t>第一条</w:t>
      </w:r>
      <w:r>
        <w:rPr>
          <w:rFonts w:hint="eastAsia" w:ascii="仿宋_GB2312" w:hAnsi="宋体"/>
          <w:szCs w:val="32"/>
        </w:rPr>
        <w:t xml:space="preserve">  为更好地向持卡人提供服务，规范浙江农商银行系统丰收借记卡业务管理，维护浙江农商银行系统和持卡人的合法权益，根据《中华人民共和国民法典》、国务院颁布的《储蓄管</w:t>
      </w:r>
      <w:bookmarkStart w:id="0" w:name="_GoBack"/>
      <w:bookmarkEnd w:id="0"/>
      <w:r>
        <w:rPr>
          <w:rFonts w:hint="eastAsia" w:ascii="仿宋_GB2312" w:hAnsi="宋体"/>
          <w:szCs w:val="32"/>
        </w:rPr>
        <w:t>理条例》和中国人民银行制定的《银行卡业务管理办法》、《人民币银行结算账户管理办法》以及中国银行保险监督管理委员会（以下简称中国银保监会）、国家外汇管理局的有关规定，制定本章程。</w:t>
      </w:r>
    </w:p>
    <w:p>
      <w:pPr>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b/>
          <w:szCs w:val="32"/>
        </w:rPr>
        <w:t>第二条</w:t>
      </w:r>
      <w:r>
        <w:rPr>
          <w:rFonts w:hint="eastAsia" w:ascii="仿宋_GB2312" w:hAnsi="宋体"/>
          <w:szCs w:val="32"/>
        </w:rPr>
        <w:t xml:space="preserve">  丰收借记卡是由各县（市、区）农商银行（农信联社）委托浙江农商联合银行申请，供委托单位发行使用的统一品牌的借记卡。丰收借记卡向符合条件的持卡人提供人民币、外币的支付结算和综合理财服务。</w:t>
      </w:r>
    </w:p>
    <w:p>
      <w:pPr>
        <w:autoSpaceDE w:val="0"/>
        <w:autoSpaceDN w:val="0"/>
        <w:adjustRightInd w:val="0"/>
        <w:snapToGrid w:val="0"/>
        <w:spacing w:line="560" w:lineRule="exact"/>
        <w:ind w:firstLine="632" w:firstLineChars="200"/>
        <w:rPr>
          <w:rFonts w:ascii="仿宋_GB2312"/>
          <w:szCs w:val="32"/>
        </w:rPr>
      </w:pPr>
      <w:r>
        <w:rPr>
          <w:rFonts w:hint="eastAsia" w:ascii="仿宋_GB2312" w:hAnsi="宋体"/>
          <w:b/>
          <w:szCs w:val="32"/>
        </w:rPr>
        <w:t>第三条</w:t>
      </w:r>
      <w:r>
        <w:rPr>
          <w:rFonts w:hint="eastAsia" w:ascii="仿宋_GB2312"/>
          <w:szCs w:val="32"/>
        </w:rPr>
        <w:t xml:space="preserve">  丰收借记卡所有权属浙江省内各县（市、区）</w:t>
      </w:r>
      <w:r>
        <w:rPr>
          <w:rFonts w:hint="eastAsia" w:ascii="仿宋_GB2312" w:hAnsi="宋体"/>
          <w:szCs w:val="32"/>
        </w:rPr>
        <w:t>农商银行（农信联社）</w:t>
      </w:r>
      <w:r>
        <w:rPr>
          <w:rFonts w:hint="eastAsia" w:ascii="仿宋_GB2312"/>
          <w:szCs w:val="32"/>
        </w:rPr>
        <w:t>。各县（市、区）</w:t>
      </w:r>
      <w:r>
        <w:rPr>
          <w:rFonts w:hint="eastAsia" w:ascii="仿宋_GB2312" w:hAnsi="宋体"/>
          <w:szCs w:val="32"/>
        </w:rPr>
        <w:t>农商银行（农信联社）</w:t>
      </w:r>
      <w:r>
        <w:rPr>
          <w:rFonts w:hint="eastAsia" w:ascii="仿宋_GB2312"/>
          <w:szCs w:val="32"/>
        </w:rPr>
        <w:t>及其所辖营业机构为发卡机构。依照本章程申请取得丰收借记卡的个人为持卡人。</w:t>
      </w:r>
    </w:p>
    <w:p>
      <w:pPr>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szCs w:val="32"/>
        </w:rPr>
        <w:t>丰收借记卡按卡片介质不同，分为磁条卡（已停发，已发行卡片按本章程管理）、纯芯片卡和芯片磁条复合卡（纯芯片卡和芯片磁条复合卡以下统称</w:t>
      </w:r>
      <w:r>
        <w:rPr>
          <w:szCs w:val="32"/>
        </w:rPr>
        <w:t>IC</w:t>
      </w:r>
      <w:r>
        <w:rPr>
          <w:rFonts w:hint="eastAsia" w:ascii="仿宋_GB2312" w:hAnsi="宋体"/>
          <w:szCs w:val="32"/>
        </w:rPr>
        <w:t>借记卡）；按是否配存折，分为有折卡和无折卡。</w:t>
      </w:r>
    </w:p>
    <w:p>
      <w:pPr>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b/>
          <w:szCs w:val="32"/>
        </w:rPr>
        <w:t xml:space="preserve">第四条  </w:t>
      </w:r>
      <w:r>
        <w:rPr>
          <w:rFonts w:hint="eastAsia" w:ascii="仿宋_GB2312" w:hAnsi="宋体"/>
          <w:szCs w:val="32"/>
        </w:rPr>
        <w:t>发卡机构、申请人/持卡人和特约商户均需遵守本章程。</w:t>
      </w:r>
    </w:p>
    <w:p>
      <w:pPr>
        <w:tabs>
          <w:tab w:val="left" w:pos="840"/>
        </w:tabs>
        <w:autoSpaceDE w:val="0"/>
        <w:autoSpaceDN w:val="0"/>
        <w:adjustRightInd w:val="0"/>
        <w:snapToGrid w:val="0"/>
        <w:spacing w:line="560" w:lineRule="exact"/>
        <w:jc w:val="center"/>
        <w:rPr>
          <w:rFonts w:ascii="黑体" w:hAnsi="宋体" w:eastAsia="黑体"/>
          <w:szCs w:val="32"/>
        </w:rPr>
      </w:pPr>
    </w:p>
    <w:p>
      <w:pPr>
        <w:tabs>
          <w:tab w:val="left" w:pos="840"/>
        </w:tabs>
        <w:autoSpaceDE w:val="0"/>
        <w:autoSpaceDN w:val="0"/>
        <w:adjustRightInd w:val="0"/>
        <w:snapToGrid w:val="0"/>
        <w:spacing w:line="560" w:lineRule="exact"/>
        <w:jc w:val="center"/>
        <w:rPr>
          <w:rFonts w:ascii="黑体" w:hAnsi="宋体" w:eastAsia="黑体"/>
          <w:szCs w:val="32"/>
        </w:rPr>
      </w:pPr>
      <w:r>
        <w:rPr>
          <w:rFonts w:hint="eastAsia" w:ascii="黑体" w:hAnsi="宋体" w:eastAsia="黑体"/>
          <w:szCs w:val="32"/>
        </w:rPr>
        <w:t>第二章  申领、换卡和销卡</w:t>
      </w:r>
    </w:p>
    <w:p>
      <w:pPr>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b/>
          <w:szCs w:val="32"/>
        </w:rPr>
        <w:t>第五条</w:t>
      </w:r>
      <w:r>
        <w:rPr>
          <w:rFonts w:hint="eastAsia" w:ascii="仿宋_GB2312" w:hAnsi="宋体"/>
          <w:szCs w:val="32"/>
        </w:rPr>
        <w:t xml:space="preserve">  凡自愿遵守本章程并符合发卡机构条件的个人均可申领丰收借记卡。</w:t>
      </w:r>
    </w:p>
    <w:p>
      <w:pPr>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szCs w:val="32"/>
        </w:rPr>
        <w:t>具有完全民事行为能力的个人可持符合个人存款账户实名制规定的本人有效身份证件向发卡机构申领丰收借记卡；无民事行为能力和限制民事行为能力的个人须由其监护人书面同意申领。丰收借记卡申领应符合个人存款账户实名制规定。</w:t>
      </w:r>
    </w:p>
    <w:p>
      <w:pPr>
        <w:autoSpaceDE w:val="0"/>
        <w:autoSpaceDN w:val="0"/>
        <w:adjustRightInd w:val="0"/>
        <w:snapToGrid w:val="0"/>
        <w:spacing w:line="560" w:lineRule="exact"/>
        <w:ind w:firstLine="632" w:firstLineChars="200"/>
        <w:rPr>
          <w:rFonts w:ascii="仿宋_GB2312"/>
          <w:szCs w:val="32"/>
        </w:rPr>
      </w:pPr>
      <w:r>
        <w:rPr>
          <w:rFonts w:hint="eastAsia" w:ascii="仿宋_GB2312"/>
          <w:szCs w:val="32"/>
        </w:rPr>
        <w:t>委托单位批量申领或委托他人代理申领丰收借记卡的，申请人应持丰收借记卡和本人有效身份证件在发卡机构营业网点办理卡片启用方可正常使用。丰收借记卡启用前，只支持存现、转入等贷方交易，不支持取现、转出、消费等借方交易。</w:t>
      </w:r>
    </w:p>
    <w:p>
      <w:pPr>
        <w:autoSpaceDE w:val="0"/>
        <w:autoSpaceDN w:val="0"/>
        <w:adjustRightInd w:val="0"/>
        <w:snapToGrid w:val="0"/>
        <w:spacing w:line="560" w:lineRule="exact"/>
        <w:ind w:firstLine="632" w:firstLineChars="200"/>
        <w:rPr>
          <w:rFonts w:ascii="仿宋_GB2312" w:hAnsi="宋体"/>
          <w:b/>
          <w:bCs/>
          <w:szCs w:val="32"/>
        </w:rPr>
      </w:pPr>
      <w:r>
        <w:rPr>
          <w:rFonts w:hint="eastAsia" w:ascii="仿宋_GB2312" w:hAnsi="宋体"/>
          <w:b/>
          <w:szCs w:val="32"/>
        </w:rPr>
        <w:t xml:space="preserve">第六条  </w:t>
      </w:r>
      <w:r>
        <w:rPr>
          <w:rFonts w:hint="eastAsia" w:ascii="仿宋_GB2312" w:hAnsi="宋体"/>
          <w:b/>
          <w:bCs/>
          <w:szCs w:val="32"/>
        </w:rPr>
        <w:t>借记卡下个人银行结算账户长期有效。</w:t>
      </w:r>
    </w:p>
    <w:p>
      <w:pPr>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b/>
          <w:bCs/>
          <w:szCs w:val="32"/>
        </w:rPr>
        <w:t>按卡片介质不同设置有效期，磁条借记卡长期有效。</w:t>
      </w:r>
      <w:r>
        <w:rPr>
          <w:b/>
          <w:bCs/>
          <w:szCs w:val="32"/>
        </w:rPr>
        <w:t>IC</w:t>
      </w:r>
      <w:r>
        <w:rPr>
          <w:rFonts w:hint="eastAsia" w:ascii="仿宋_GB2312" w:hAnsi="宋体"/>
          <w:b/>
          <w:bCs/>
          <w:szCs w:val="32"/>
        </w:rPr>
        <w:t>借记卡则遵守金融监管机构与相关银行卡组织的业务规定设置有效期。IC借记卡有效期届满后，已签订网上银行、手机银行、电话银行（以下简称电子银行）、三方支付协议等业务仍可正常使用；但不支持POS、ATM、智能柜员机等终端发起的持卡交易。有效期届满前，持卡人应及时办理换领手续。</w:t>
      </w:r>
    </w:p>
    <w:p>
      <w:pPr>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b/>
          <w:szCs w:val="32"/>
        </w:rPr>
        <w:t>第七条</w:t>
      </w:r>
      <w:r>
        <w:rPr>
          <w:rFonts w:hint="eastAsia" w:ascii="仿宋_GB2312" w:hAnsi="宋体"/>
          <w:szCs w:val="32"/>
        </w:rPr>
        <w:t xml:space="preserve">  </w:t>
      </w:r>
      <w:r>
        <w:rPr>
          <w:rFonts w:hint="eastAsia" w:ascii="仿宋_GB2312" w:hAnsi="宋体"/>
          <w:b/>
          <w:bCs/>
          <w:szCs w:val="32"/>
        </w:rPr>
        <w:t>持卡人领取借记卡后，应立即在卡片背面（不含异形卡）签名栏签名，并在用卡时按规定使用此签名，否则应自行承担由此产生的后果和损失。</w:t>
      </w:r>
    </w:p>
    <w:p>
      <w:pPr>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b/>
          <w:szCs w:val="32"/>
        </w:rPr>
        <w:t>第八条</w:t>
      </w:r>
      <w:r>
        <w:rPr>
          <w:rFonts w:hint="eastAsia" w:ascii="仿宋_GB2312" w:hAnsi="宋体"/>
          <w:szCs w:val="32"/>
        </w:rPr>
        <w:t xml:space="preserve">  持卡人因卡片毁损、到期等原因需要换领新卡的，可持卡片和本人有效身份证件到发卡机构指定网点办理换卡手续。</w:t>
      </w:r>
    </w:p>
    <w:p>
      <w:pPr>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szCs w:val="32"/>
        </w:rPr>
        <w:t>持卡人因卡片挂失期满需要补发新卡的，可持本人有效身份证件到发卡机构指定网点办理补卡手续。</w:t>
      </w:r>
    </w:p>
    <w:p>
      <w:pPr>
        <w:tabs>
          <w:tab w:val="left" w:pos="900"/>
        </w:tabs>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b/>
          <w:szCs w:val="32"/>
        </w:rPr>
        <w:t xml:space="preserve">第九条 </w:t>
      </w:r>
      <w:r>
        <w:rPr>
          <w:rFonts w:ascii="仿宋_GB2312" w:hAnsi="宋体"/>
          <w:b/>
          <w:szCs w:val="32"/>
        </w:rPr>
        <w:t xml:space="preserve"> </w:t>
      </w:r>
      <w:r>
        <w:rPr>
          <w:rFonts w:hint="eastAsia" w:ascii="仿宋_GB2312" w:hAnsi="宋体"/>
          <w:szCs w:val="32"/>
        </w:rPr>
        <w:t>若发卡机构因与合作单位、银行卡组织合作终止等原因导致无法更换为相同卡种的，经持卡人同意，发卡机构可发放其他卡种替代。若持卡人不同意更换卡种，应办理销卡。</w:t>
      </w:r>
    </w:p>
    <w:p>
      <w:pPr>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b/>
          <w:szCs w:val="32"/>
        </w:rPr>
        <w:t xml:space="preserve">第十条  </w:t>
      </w:r>
      <w:r>
        <w:rPr>
          <w:rFonts w:hint="eastAsia" w:ascii="仿宋_GB2312" w:hAnsi="宋体"/>
          <w:szCs w:val="32"/>
        </w:rPr>
        <w:t>持卡人终止使用丰收借记卡时，应按发卡机构有关规定办理销卡或销户手续。</w:t>
      </w:r>
    </w:p>
    <w:p>
      <w:pPr>
        <w:tabs>
          <w:tab w:val="left" w:pos="840"/>
        </w:tabs>
        <w:autoSpaceDE w:val="0"/>
        <w:autoSpaceDN w:val="0"/>
        <w:adjustRightInd w:val="0"/>
        <w:snapToGrid w:val="0"/>
        <w:spacing w:line="560" w:lineRule="exact"/>
        <w:jc w:val="center"/>
        <w:rPr>
          <w:rFonts w:ascii="黑体" w:hAnsi="宋体" w:eastAsia="黑体"/>
          <w:szCs w:val="32"/>
        </w:rPr>
      </w:pPr>
    </w:p>
    <w:p>
      <w:pPr>
        <w:tabs>
          <w:tab w:val="left" w:pos="840"/>
        </w:tabs>
        <w:autoSpaceDE w:val="0"/>
        <w:autoSpaceDN w:val="0"/>
        <w:adjustRightInd w:val="0"/>
        <w:snapToGrid w:val="0"/>
        <w:spacing w:line="560" w:lineRule="exact"/>
        <w:jc w:val="center"/>
        <w:rPr>
          <w:rFonts w:ascii="仿宋_GB2312" w:hAnsi="宋体"/>
          <w:szCs w:val="32"/>
        </w:rPr>
      </w:pPr>
      <w:r>
        <w:rPr>
          <w:rFonts w:hint="eastAsia" w:ascii="黑体" w:hAnsi="宋体" w:eastAsia="黑体"/>
          <w:szCs w:val="32"/>
        </w:rPr>
        <w:t>第三章  功能和使用范围</w:t>
      </w:r>
    </w:p>
    <w:p>
      <w:pPr>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b/>
          <w:szCs w:val="32"/>
        </w:rPr>
        <w:t>第十一条</w:t>
      </w:r>
      <w:r>
        <w:rPr>
          <w:rFonts w:hint="eastAsia" w:ascii="仿宋_GB2312" w:hAnsi="宋体"/>
          <w:szCs w:val="32"/>
        </w:rPr>
        <w:t xml:space="preserve">  丰收借记卡主账户为银行结算账户，具有账户查询、消费、转账结算、存取现金、缴费、投资理财等功能。</w:t>
      </w:r>
    </w:p>
    <w:p>
      <w:pPr>
        <w:autoSpaceDE w:val="0"/>
        <w:autoSpaceDN w:val="0"/>
        <w:adjustRightInd w:val="0"/>
        <w:snapToGrid w:val="0"/>
        <w:spacing w:line="560" w:lineRule="exact"/>
        <w:ind w:firstLine="632" w:firstLineChars="200"/>
        <w:rPr>
          <w:rFonts w:ascii="仿宋_GB2312"/>
          <w:szCs w:val="32"/>
        </w:rPr>
      </w:pPr>
      <w:r>
        <w:rPr>
          <w:rFonts w:hint="eastAsia" w:ascii="仿宋_GB2312" w:hAnsi="宋体"/>
          <w:b/>
          <w:szCs w:val="32"/>
        </w:rPr>
        <w:t>第十二条</w:t>
      </w:r>
      <w:r>
        <w:rPr>
          <w:rFonts w:hint="eastAsia" w:ascii="仿宋_GB2312" w:hAnsi="宋体"/>
          <w:szCs w:val="32"/>
        </w:rPr>
        <w:t xml:space="preserve">  </w:t>
      </w:r>
      <w:r>
        <w:rPr>
          <w:szCs w:val="32"/>
        </w:rPr>
        <w:t>IC</w:t>
      </w:r>
      <w:r>
        <w:rPr>
          <w:rFonts w:hint="eastAsia" w:ascii="仿宋_GB2312" w:hAnsi="宋体"/>
          <w:szCs w:val="32"/>
        </w:rPr>
        <w:t>借记卡可具有电子现金功能。</w:t>
      </w:r>
      <w:r>
        <w:rPr>
          <w:rFonts w:hint="eastAsia" w:ascii="仿宋_GB2312"/>
          <w:szCs w:val="32"/>
        </w:rPr>
        <w:t>电子现金最高余额不得超过人民银行规定的最高限额，电子现金视同现金，但不计息，不挂失。</w:t>
      </w:r>
    </w:p>
    <w:p>
      <w:pPr>
        <w:autoSpaceDE w:val="0"/>
        <w:autoSpaceDN w:val="0"/>
        <w:adjustRightInd w:val="0"/>
        <w:snapToGrid w:val="0"/>
        <w:spacing w:line="560" w:lineRule="exact"/>
        <w:ind w:firstLine="632" w:firstLineChars="200"/>
        <w:rPr>
          <w:rFonts w:ascii="仿宋_GB2312"/>
          <w:szCs w:val="32"/>
        </w:rPr>
      </w:pPr>
      <w:r>
        <w:rPr>
          <w:rFonts w:hint="eastAsia" w:ascii="仿宋_GB2312"/>
          <w:szCs w:val="32"/>
        </w:rPr>
        <w:t>电子现金支持脱机消费、圈存、圈提、查询等功能。IC借记卡电子现金交易不设交易密码，凡使用IC借记卡电子现金进行的交易均视为持卡人本人所为。</w:t>
      </w:r>
    </w:p>
    <w:p>
      <w:pPr>
        <w:tabs>
          <w:tab w:val="left" w:pos="900"/>
        </w:tabs>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b/>
          <w:szCs w:val="32"/>
        </w:rPr>
        <w:t>第十三条</w:t>
      </w:r>
      <w:r>
        <w:rPr>
          <w:rFonts w:hint="eastAsia" w:ascii="仿宋_GB2312" w:hAnsi="宋体"/>
          <w:szCs w:val="32"/>
        </w:rPr>
        <w:t xml:space="preserve">  </w:t>
      </w:r>
      <w:r>
        <w:rPr>
          <w:rFonts w:hint="eastAsia" w:ascii="仿宋_GB2312" w:hAnsi="宋体"/>
          <w:b/>
          <w:bCs/>
          <w:szCs w:val="32"/>
        </w:rPr>
        <w:t>带有闪付功能的银联IC借记卡自动具有小额免密免签功能（部分特殊卡种除外）。持卡人在指定商户进行一定金额以内的交易时无需验证取款密码和签名。小额免密免签交易等非接触式交易均视为本人交易，客户需承担因交易而产生的责任。小额免密免签功能的限额以发卡银行对外公布的限额为准并可经公告后调整。持卡人可通过发卡机构营业网点、手机银行、客服电话等渠道关闭小额免密免签功能。</w:t>
      </w:r>
    </w:p>
    <w:p>
      <w:pPr>
        <w:tabs>
          <w:tab w:val="left" w:pos="900"/>
        </w:tabs>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b/>
          <w:szCs w:val="32"/>
        </w:rPr>
        <w:t xml:space="preserve">第十四条 </w:t>
      </w:r>
      <w:r>
        <w:rPr>
          <w:rFonts w:ascii="仿宋_GB2312" w:hAnsi="宋体"/>
          <w:b/>
          <w:szCs w:val="32"/>
        </w:rPr>
        <w:t xml:space="preserve"> </w:t>
      </w:r>
      <w:r>
        <w:rPr>
          <w:rFonts w:hint="eastAsia" w:ascii="仿宋_GB2312" w:hAnsi="宋体"/>
          <w:szCs w:val="32"/>
        </w:rPr>
        <w:t>丰收借记卡可在浙江农商银行系统内的联网网点、自助设备、特约商户和电子银行上使用，也可在中国银联等相关银行卡组织的境内外自动柜员机和特约商户等受理点使用。</w:t>
      </w:r>
    </w:p>
    <w:p>
      <w:pPr>
        <w:tabs>
          <w:tab w:val="left" w:pos="900"/>
        </w:tabs>
        <w:autoSpaceDE w:val="0"/>
        <w:autoSpaceDN w:val="0"/>
        <w:adjustRightInd w:val="0"/>
        <w:snapToGrid w:val="0"/>
        <w:spacing w:line="560" w:lineRule="exact"/>
        <w:ind w:firstLine="632" w:firstLineChars="200"/>
        <w:rPr>
          <w:rFonts w:ascii="仿宋_GB2312" w:hAnsi="宋体"/>
          <w:szCs w:val="32"/>
        </w:rPr>
      </w:pPr>
      <w:r>
        <w:rPr>
          <w:rFonts w:hint="eastAsia" w:ascii="仿宋_GB2312"/>
          <w:szCs w:val="32"/>
        </w:rPr>
        <w:t>持卡人可向发卡机构申请开通电子银行服务。持卡人办理电子银行业务须同时遵守发卡机构关于电子银行业务的相关规定。</w:t>
      </w:r>
    </w:p>
    <w:p>
      <w:pPr>
        <w:autoSpaceDE w:val="0"/>
        <w:autoSpaceDN w:val="0"/>
        <w:adjustRightInd w:val="0"/>
        <w:snapToGrid w:val="0"/>
        <w:spacing w:line="560" w:lineRule="exact"/>
        <w:ind w:firstLine="632" w:firstLineChars="200"/>
        <w:rPr>
          <w:rFonts w:ascii="仿宋_GB2312"/>
          <w:szCs w:val="32"/>
        </w:rPr>
      </w:pPr>
      <w:r>
        <w:rPr>
          <w:rFonts w:hint="eastAsia" w:ascii="仿宋_GB2312" w:hAnsi="宋体"/>
          <w:b/>
          <w:szCs w:val="32"/>
        </w:rPr>
        <w:t>第十五条</w:t>
      </w:r>
      <w:r>
        <w:rPr>
          <w:rFonts w:hint="eastAsia" w:ascii="仿宋_GB2312"/>
          <w:szCs w:val="32"/>
        </w:rPr>
        <w:t xml:space="preserve">  丰收借记卡可在与浙江农商银行系统联网的金融机构网点进行存款、取款、转账及查询交易。</w:t>
      </w:r>
    </w:p>
    <w:p>
      <w:pPr>
        <w:autoSpaceDE w:val="0"/>
        <w:autoSpaceDN w:val="0"/>
        <w:adjustRightInd w:val="0"/>
        <w:snapToGrid w:val="0"/>
        <w:spacing w:line="560" w:lineRule="exact"/>
        <w:ind w:firstLine="632" w:firstLineChars="200"/>
        <w:rPr>
          <w:rFonts w:ascii="仿宋_GB2312"/>
          <w:szCs w:val="32"/>
        </w:rPr>
      </w:pPr>
      <w:r>
        <w:rPr>
          <w:rFonts w:hint="eastAsia" w:ascii="仿宋_GB2312" w:hAnsi="宋体"/>
          <w:b/>
          <w:szCs w:val="32"/>
        </w:rPr>
        <w:t>第十六条</w:t>
      </w:r>
      <w:r>
        <w:rPr>
          <w:rFonts w:hint="eastAsia" w:ascii="仿宋_GB2312"/>
          <w:szCs w:val="32"/>
        </w:rPr>
        <w:t xml:space="preserve">  丰收借记卡境内交易及通过中国银联网络进行的境外交易，以人民币结算。丰收借记卡通过国际银行卡组织的专用网络进行的境外交易，以指定外币结算。</w:t>
      </w:r>
    </w:p>
    <w:p>
      <w:pPr>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b/>
          <w:szCs w:val="32"/>
        </w:rPr>
        <w:t>第十七条</w:t>
      </w:r>
      <w:r>
        <w:rPr>
          <w:rFonts w:hint="eastAsia" w:ascii="仿宋_GB2312" w:hAnsi="宋体"/>
          <w:szCs w:val="32"/>
        </w:rPr>
        <w:t xml:space="preserve">  </w:t>
      </w:r>
      <w:r>
        <w:rPr>
          <w:rFonts w:hint="eastAsia" w:ascii="仿宋_GB2312"/>
          <w:szCs w:val="32"/>
        </w:rPr>
        <w:t>丰收借记卡必须设置密码。在查询、取款、转账、消费交易中凭密码进行交易，</w:t>
      </w:r>
      <w:r>
        <w:rPr>
          <w:rFonts w:hint="eastAsia" w:ascii="仿宋_GB2312" w:hAnsi="宋体"/>
          <w:szCs w:val="32"/>
        </w:rPr>
        <w:t>IC借记卡电子现金、银联卡小额免密免签业务，以及发卡机构或银行卡组织规定的其他可不使用密码的交易除外。</w:t>
      </w:r>
      <w:r>
        <w:rPr>
          <w:rFonts w:hint="eastAsia" w:ascii="仿宋_GB2312"/>
          <w:szCs w:val="32"/>
        </w:rPr>
        <w:t>密码可通过浙江农商银行系统网点柜台、自助设备等渠道进行修改。</w:t>
      </w:r>
    </w:p>
    <w:p>
      <w:pPr>
        <w:tabs>
          <w:tab w:val="left" w:pos="900"/>
        </w:tabs>
        <w:autoSpaceDE w:val="0"/>
        <w:autoSpaceDN w:val="0"/>
        <w:adjustRightInd w:val="0"/>
        <w:snapToGrid w:val="0"/>
        <w:spacing w:line="560" w:lineRule="exact"/>
        <w:ind w:firstLine="632" w:firstLineChars="200"/>
        <w:rPr>
          <w:rFonts w:ascii="仿宋_GB2312" w:hAnsi="宋体"/>
          <w:szCs w:val="32"/>
        </w:rPr>
      </w:pPr>
    </w:p>
    <w:p>
      <w:pPr>
        <w:tabs>
          <w:tab w:val="left" w:pos="840"/>
        </w:tabs>
        <w:autoSpaceDE w:val="0"/>
        <w:autoSpaceDN w:val="0"/>
        <w:adjustRightInd w:val="0"/>
        <w:snapToGrid w:val="0"/>
        <w:spacing w:line="560" w:lineRule="exact"/>
        <w:jc w:val="center"/>
        <w:rPr>
          <w:rFonts w:ascii="仿宋_GB2312" w:hAnsi="宋体"/>
          <w:szCs w:val="32"/>
        </w:rPr>
      </w:pPr>
      <w:r>
        <w:rPr>
          <w:rFonts w:hint="eastAsia" w:ascii="黑体" w:hAnsi="宋体" w:eastAsia="黑体"/>
          <w:szCs w:val="32"/>
        </w:rPr>
        <w:t>第四章  账户及交易管理</w:t>
      </w:r>
    </w:p>
    <w:p>
      <w:pPr>
        <w:widowControl/>
        <w:spacing w:line="560" w:lineRule="exact"/>
        <w:ind w:firstLine="632" w:firstLineChars="200"/>
        <w:rPr>
          <w:rFonts w:ascii="仿宋_GB2312" w:hAnsi="宋体"/>
          <w:szCs w:val="32"/>
        </w:rPr>
      </w:pPr>
      <w:r>
        <w:rPr>
          <w:rFonts w:hint="eastAsia" w:ascii="仿宋_GB2312" w:hAnsi="宋体"/>
          <w:b/>
          <w:szCs w:val="32"/>
        </w:rPr>
        <w:t xml:space="preserve">第十八条 </w:t>
      </w:r>
      <w:r>
        <w:rPr>
          <w:rFonts w:ascii="仿宋_GB2312" w:hAnsi="宋体"/>
          <w:b/>
          <w:szCs w:val="32"/>
        </w:rPr>
        <w:t xml:space="preserve"> </w:t>
      </w:r>
      <w:r>
        <w:rPr>
          <w:rFonts w:hint="eastAsia" w:ascii="仿宋_GB2312" w:hAnsi="宋体"/>
          <w:szCs w:val="32"/>
        </w:rPr>
        <w:t>丰收借记卡下开立的个人银行结算账户按个人银行账户分类管理规定执行。</w:t>
      </w:r>
    </w:p>
    <w:p>
      <w:pPr>
        <w:adjustRightInd w:val="0"/>
        <w:snapToGrid w:val="0"/>
        <w:spacing w:line="560" w:lineRule="exact"/>
        <w:ind w:firstLine="632" w:firstLineChars="200"/>
        <w:rPr>
          <w:rFonts w:ascii="仿宋_GB2312"/>
          <w:szCs w:val="32"/>
        </w:rPr>
      </w:pPr>
      <w:r>
        <w:rPr>
          <w:rFonts w:hint="eastAsia" w:ascii="仿宋_GB2312" w:hAnsi="宋体"/>
          <w:b/>
          <w:szCs w:val="32"/>
        </w:rPr>
        <w:t>第十九条</w:t>
      </w:r>
      <w:r>
        <w:rPr>
          <w:rFonts w:hint="eastAsia" w:ascii="仿宋_GB2312"/>
          <w:szCs w:val="32"/>
        </w:rPr>
        <w:t xml:space="preserve">  个人卡人民币账户的</w:t>
      </w:r>
      <w:r>
        <w:rPr>
          <w:rFonts w:hint="eastAsia" w:ascii="仿宋_GB2312" w:hAnsi="宋体"/>
          <w:szCs w:val="32"/>
        </w:rPr>
        <w:t>资金以其持</w:t>
      </w:r>
      <w:r>
        <w:rPr>
          <w:rFonts w:hint="eastAsia" w:ascii="仿宋_GB2312"/>
          <w:szCs w:val="32"/>
        </w:rPr>
        <w:t>有的现金存入或以其工资性款项、属于个人的合法的劳务报酬、</w:t>
      </w:r>
      <w:r>
        <w:rPr>
          <w:rFonts w:hint="eastAsia" w:ascii="仿宋_GB2312" w:hAnsi="宋体"/>
          <w:kern w:val="0"/>
          <w:szCs w:val="32"/>
        </w:rPr>
        <w:t>投资回报</w:t>
      </w:r>
      <w:r>
        <w:rPr>
          <w:rFonts w:hint="eastAsia" w:ascii="仿宋_GB2312"/>
          <w:szCs w:val="32"/>
        </w:rPr>
        <w:t>等收入转账存入。</w:t>
      </w:r>
    </w:p>
    <w:p>
      <w:pPr>
        <w:adjustRightInd w:val="0"/>
        <w:snapToGrid w:val="0"/>
        <w:spacing w:line="560" w:lineRule="exact"/>
        <w:ind w:firstLine="632" w:firstLineChars="200"/>
        <w:rPr>
          <w:rFonts w:ascii="仿宋_GB2312"/>
          <w:szCs w:val="32"/>
        </w:rPr>
      </w:pPr>
      <w:r>
        <w:rPr>
          <w:rFonts w:hint="eastAsia" w:ascii="仿宋_GB2312"/>
          <w:szCs w:val="32"/>
        </w:rPr>
        <w:t>个人卡外币账户的资金以其个人持有的外币</w:t>
      </w:r>
      <w:r>
        <w:rPr>
          <w:rFonts w:hint="eastAsia" w:ascii="仿宋_GB2312" w:hAnsi="宋体"/>
          <w:kern w:val="0"/>
          <w:szCs w:val="32"/>
        </w:rPr>
        <w:t>现钞</w:t>
      </w:r>
      <w:r>
        <w:rPr>
          <w:rFonts w:hint="eastAsia" w:ascii="仿宋_GB2312"/>
          <w:szCs w:val="32"/>
        </w:rPr>
        <w:t>存入或从其外汇账户（含外钞账户）转账存入。</w:t>
      </w:r>
    </w:p>
    <w:p>
      <w:pPr>
        <w:adjustRightInd w:val="0"/>
        <w:snapToGrid w:val="0"/>
        <w:spacing w:line="560" w:lineRule="exact"/>
        <w:ind w:firstLine="632" w:firstLineChars="200"/>
        <w:rPr>
          <w:rFonts w:ascii="仿宋_GB2312"/>
          <w:szCs w:val="32"/>
        </w:rPr>
      </w:pPr>
      <w:r>
        <w:rPr>
          <w:rFonts w:ascii="仿宋_GB2312"/>
          <w:b/>
          <w:szCs w:val="32"/>
        </w:rPr>
        <w:t>第</w:t>
      </w:r>
      <w:r>
        <w:rPr>
          <w:rFonts w:hint="eastAsia" w:ascii="仿宋_GB2312"/>
          <w:b/>
          <w:szCs w:val="32"/>
        </w:rPr>
        <w:t>二十</w:t>
      </w:r>
      <w:r>
        <w:rPr>
          <w:rFonts w:ascii="仿宋_GB2312"/>
          <w:b/>
          <w:szCs w:val="32"/>
        </w:rPr>
        <w:t>条</w:t>
      </w:r>
      <w:r>
        <w:rPr>
          <w:rFonts w:ascii="仿宋_GB2312"/>
          <w:szCs w:val="32"/>
        </w:rPr>
        <w:t xml:space="preserve">  持卡人在结清全部交易款项和有关费用后，可申请办理销户。</w:t>
      </w:r>
    </w:p>
    <w:p>
      <w:pPr>
        <w:adjustRightInd w:val="0"/>
        <w:snapToGrid w:val="0"/>
        <w:spacing w:line="560" w:lineRule="exact"/>
        <w:ind w:firstLine="632" w:firstLineChars="200"/>
        <w:rPr>
          <w:rFonts w:ascii="仿宋_GB2312" w:hAnsi="宋体"/>
          <w:szCs w:val="32"/>
        </w:rPr>
      </w:pPr>
      <w:r>
        <w:rPr>
          <w:rFonts w:hint="eastAsia" w:ascii="仿宋_GB2312" w:hAnsi="宋体"/>
          <w:b/>
          <w:szCs w:val="32"/>
        </w:rPr>
        <w:t>第二十一条</w:t>
      </w:r>
      <w:r>
        <w:rPr>
          <w:rFonts w:hint="eastAsia" w:ascii="仿宋_GB2312" w:hAnsi="宋体"/>
          <w:szCs w:val="32"/>
        </w:rPr>
        <w:t xml:space="preserve">  在自动柜员机取款，每卡每日累计提款额根据中国人民银行有关规定执行。</w:t>
      </w:r>
    </w:p>
    <w:p>
      <w:pPr>
        <w:adjustRightInd w:val="0"/>
        <w:snapToGrid w:val="0"/>
        <w:spacing w:line="560" w:lineRule="exact"/>
        <w:ind w:firstLine="632" w:firstLineChars="200"/>
        <w:rPr>
          <w:rFonts w:ascii="仿宋_GB2312" w:hAnsi="宋体"/>
          <w:szCs w:val="32"/>
        </w:rPr>
      </w:pPr>
      <w:r>
        <w:rPr>
          <w:rFonts w:hint="eastAsia" w:ascii="仿宋_GB2312" w:hAnsi="宋体"/>
          <w:b/>
          <w:szCs w:val="32"/>
        </w:rPr>
        <w:t>第二十二条</w:t>
      </w:r>
      <w:r>
        <w:rPr>
          <w:rFonts w:hint="eastAsia" w:ascii="仿宋_GB2312" w:hAnsi="宋体"/>
          <w:szCs w:val="32"/>
        </w:rPr>
        <w:t xml:space="preserve">  持卡人可根据本人交易习惯，在规定的范围内设置电子银行、自动柜员机等渠道交易限额。</w:t>
      </w:r>
    </w:p>
    <w:p>
      <w:pPr>
        <w:adjustRightInd w:val="0"/>
        <w:snapToGrid w:val="0"/>
        <w:spacing w:line="560" w:lineRule="exact"/>
        <w:ind w:firstLine="632" w:firstLineChars="200"/>
        <w:rPr>
          <w:rFonts w:ascii="仿宋_GB2312" w:hAnsi="宋体"/>
          <w:szCs w:val="32"/>
        </w:rPr>
      </w:pPr>
      <w:r>
        <w:rPr>
          <w:rFonts w:hint="eastAsia" w:ascii="仿宋_GB2312" w:hAnsi="宋体"/>
          <w:b/>
          <w:szCs w:val="32"/>
        </w:rPr>
        <w:t>第二十三条</w:t>
      </w:r>
      <w:r>
        <w:rPr>
          <w:rFonts w:hint="eastAsia" w:ascii="仿宋_GB2312" w:hAnsi="宋体"/>
          <w:szCs w:val="32"/>
        </w:rPr>
        <w:t xml:space="preserve">  对于持卡人持丰收借记卡在境内外所发生的大额外币存款、提现或消费交易，浙江农商银行系统应按照中国银保监会和国家外汇管理局的有关规定，向所在地国家外汇管理局分支局报告或备案。</w:t>
      </w:r>
    </w:p>
    <w:p>
      <w:pPr>
        <w:adjustRightInd w:val="0"/>
        <w:snapToGrid w:val="0"/>
        <w:spacing w:line="560" w:lineRule="exact"/>
        <w:ind w:firstLine="632" w:firstLineChars="200"/>
        <w:rPr>
          <w:rFonts w:ascii="仿宋_GB2312" w:hAnsi="宋体"/>
          <w:szCs w:val="32"/>
        </w:rPr>
      </w:pPr>
      <w:r>
        <w:rPr>
          <w:rFonts w:hint="eastAsia" w:ascii="仿宋_GB2312" w:hAnsi="宋体"/>
          <w:b/>
          <w:szCs w:val="32"/>
        </w:rPr>
        <w:t>第二十四条</w:t>
      </w:r>
      <w:r>
        <w:rPr>
          <w:rFonts w:hint="eastAsia" w:ascii="仿宋_GB2312" w:hAnsi="宋体"/>
          <w:szCs w:val="32"/>
        </w:rPr>
        <w:t xml:space="preserve">  对于持卡人持丰收借记卡在自动柜员机等自助设备和特约商户使用时发生的吞没卡情况，浙江农商银行系统按照中国银联制定的《银行卡跨行业务吞没卡处理办法》办理。</w:t>
      </w:r>
    </w:p>
    <w:p>
      <w:pPr>
        <w:adjustRightInd w:val="0"/>
        <w:snapToGrid w:val="0"/>
        <w:spacing w:line="560" w:lineRule="exact"/>
        <w:ind w:firstLine="632" w:firstLineChars="200"/>
        <w:rPr>
          <w:rFonts w:ascii="仿宋_GB2312" w:hAnsi="宋体"/>
          <w:szCs w:val="32"/>
        </w:rPr>
      </w:pPr>
      <w:r>
        <w:rPr>
          <w:rFonts w:hint="eastAsia" w:ascii="仿宋_GB2312" w:hAnsi="宋体"/>
          <w:b/>
          <w:szCs w:val="32"/>
        </w:rPr>
        <w:t xml:space="preserve">第二十五条 </w:t>
      </w:r>
      <w:r>
        <w:rPr>
          <w:rFonts w:ascii="仿宋_GB2312" w:hAnsi="宋体"/>
          <w:b/>
          <w:szCs w:val="32"/>
        </w:rPr>
        <w:t xml:space="preserve"> </w:t>
      </w:r>
      <w:r>
        <w:rPr>
          <w:rFonts w:hint="eastAsia" w:ascii="仿宋_GB2312" w:hAnsi="宋体"/>
          <w:b/>
          <w:szCs w:val="32"/>
        </w:rPr>
        <w:t>挂失分为口头挂失和书面挂失，</w:t>
      </w:r>
      <w:r>
        <w:rPr>
          <w:rFonts w:hint="eastAsia" w:ascii="仿宋_GB2312"/>
          <w:b/>
          <w:szCs w:val="32"/>
        </w:rPr>
        <w:t>书面挂失为正式挂失，</w:t>
      </w:r>
      <w:r>
        <w:rPr>
          <w:rFonts w:hint="eastAsia" w:ascii="仿宋_GB2312" w:hAnsi="宋体"/>
          <w:b/>
          <w:szCs w:val="32"/>
        </w:rPr>
        <w:t>书面挂失手续办妥后挂失立即生效。挂失时间及金额以发卡机构系统记录为准。</w:t>
      </w:r>
    </w:p>
    <w:p>
      <w:pPr>
        <w:spacing w:line="560" w:lineRule="exact"/>
        <w:ind w:firstLine="632" w:firstLineChars="200"/>
        <w:rPr>
          <w:rFonts w:ascii="仿宋_GB2312"/>
          <w:szCs w:val="32"/>
        </w:rPr>
      </w:pPr>
      <w:r>
        <w:rPr>
          <w:rFonts w:hint="eastAsia" w:ascii="仿宋_GB2312"/>
          <w:szCs w:val="32"/>
        </w:rPr>
        <w:t>有折卡挂失后，对应的存折仍可正常使用；存折挂失后，对应的卡也仍可正常使用。</w:t>
      </w:r>
    </w:p>
    <w:p>
      <w:pPr>
        <w:adjustRightInd w:val="0"/>
        <w:snapToGrid w:val="0"/>
        <w:spacing w:line="560" w:lineRule="exact"/>
        <w:ind w:firstLine="632" w:firstLineChars="200"/>
        <w:rPr>
          <w:rFonts w:ascii="仿宋_GB2312" w:hAnsi="宋体"/>
          <w:szCs w:val="32"/>
        </w:rPr>
      </w:pPr>
    </w:p>
    <w:p>
      <w:pPr>
        <w:tabs>
          <w:tab w:val="left" w:pos="840"/>
        </w:tabs>
        <w:autoSpaceDE w:val="0"/>
        <w:autoSpaceDN w:val="0"/>
        <w:adjustRightInd w:val="0"/>
        <w:snapToGrid w:val="0"/>
        <w:spacing w:line="560" w:lineRule="exact"/>
        <w:jc w:val="center"/>
        <w:rPr>
          <w:rFonts w:ascii="仿宋_GB2312" w:hAnsi="宋体" w:eastAsia="黑体"/>
          <w:szCs w:val="32"/>
        </w:rPr>
      </w:pPr>
      <w:r>
        <w:rPr>
          <w:rFonts w:hint="eastAsia" w:ascii="黑体" w:hAnsi="宋体" w:eastAsia="黑体"/>
          <w:szCs w:val="32"/>
        </w:rPr>
        <w:t>第五章  计息和收费标准</w:t>
      </w:r>
    </w:p>
    <w:p>
      <w:pPr>
        <w:tabs>
          <w:tab w:val="left" w:pos="900"/>
        </w:tabs>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b/>
          <w:szCs w:val="32"/>
        </w:rPr>
        <w:t>第二十六条</w:t>
      </w:r>
      <w:r>
        <w:rPr>
          <w:rFonts w:hint="eastAsia" w:ascii="仿宋_GB2312" w:hAnsi="宋体"/>
          <w:szCs w:val="32"/>
        </w:rPr>
        <w:t xml:space="preserve">  丰收借记卡银行结算账户内的存款，按照中国人民银行规定的相应存款利率、计息办法和发卡机构关于个人存款的相关规定计付利息，电子现金不计利息；并由发卡机构依法代扣代缴利息税。</w:t>
      </w:r>
    </w:p>
    <w:p>
      <w:pPr>
        <w:tabs>
          <w:tab w:val="left" w:pos="900"/>
        </w:tabs>
        <w:autoSpaceDE w:val="0"/>
        <w:autoSpaceDN w:val="0"/>
        <w:adjustRightInd w:val="0"/>
        <w:snapToGrid w:val="0"/>
        <w:spacing w:line="560" w:lineRule="exact"/>
        <w:ind w:firstLine="632" w:firstLineChars="200"/>
        <w:rPr>
          <w:rFonts w:ascii="仿宋_GB2312" w:hAnsi="宋体"/>
          <w:b/>
          <w:szCs w:val="32"/>
        </w:rPr>
      </w:pPr>
      <w:r>
        <w:rPr>
          <w:rFonts w:hint="eastAsia" w:ascii="仿宋_GB2312" w:hAnsi="宋体"/>
          <w:b/>
          <w:szCs w:val="32"/>
        </w:rPr>
        <w:t>第二十七条</w:t>
      </w:r>
      <w:r>
        <w:rPr>
          <w:rFonts w:hint="eastAsia" w:ascii="仿宋_GB2312" w:hAnsi="宋体"/>
          <w:szCs w:val="32"/>
        </w:rPr>
        <w:t xml:space="preserve">  浙江农商银行系统根据业务发展需要制定丰收借记卡年费、工本费和其它交易手续费标准，对外公告后执行。</w:t>
      </w:r>
    </w:p>
    <w:p>
      <w:pPr>
        <w:tabs>
          <w:tab w:val="left" w:pos="900"/>
        </w:tabs>
        <w:autoSpaceDE w:val="0"/>
        <w:autoSpaceDN w:val="0"/>
        <w:adjustRightInd w:val="0"/>
        <w:snapToGrid w:val="0"/>
        <w:spacing w:line="560" w:lineRule="exact"/>
        <w:ind w:firstLine="632" w:firstLineChars="200"/>
        <w:rPr>
          <w:rFonts w:ascii="仿宋_GB2312" w:hAnsi="宋体"/>
          <w:b/>
          <w:szCs w:val="32"/>
        </w:rPr>
      </w:pPr>
      <w:r>
        <w:rPr>
          <w:rFonts w:hint="eastAsia" w:ascii="仿宋_GB2312" w:hAnsi="宋体"/>
          <w:b/>
          <w:szCs w:val="32"/>
        </w:rPr>
        <w:t xml:space="preserve">第二十八条 </w:t>
      </w:r>
      <w:r>
        <w:rPr>
          <w:rFonts w:hint="eastAsia" w:ascii="仿宋_GB2312" w:hAnsi="宋体"/>
          <w:szCs w:val="32"/>
        </w:rPr>
        <w:t xml:space="preserve"> 浙江农商银行系统为丰收借记卡持卡人提供境内本异地存取款、自动柜员机存取款、电子银行等渠道的银行业务服务，按中国人民银行、中国银保监会、中国银联等有关规定制定费用收取标准。</w:t>
      </w:r>
    </w:p>
    <w:p>
      <w:pPr>
        <w:tabs>
          <w:tab w:val="left" w:pos="840"/>
        </w:tabs>
        <w:autoSpaceDE w:val="0"/>
        <w:autoSpaceDN w:val="0"/>
        <w:adjustRightInd w:val="0"/>
        <w:snapToGrid w:val="0"/>
        <w:spacing w:line="560" w:lineRule="exact"/>
        <w:jc w:val="center"/>
        <w:rPr>
          <w:rFonts w:ascii="黑体" w:hAnsi="宋体" w:eastAsia="黑体"/>
          <w:szCs w:val="32"/>
        </w:rPr>
      </w:pPr>
      <w:r>
        <w:rPr>
          <w:rFonts w:hint="eastAsia" w:ascii="仿宋_GB2312" w:hAnsi="宋体"/>
          <w:b/>
          <w:szCs w:val="32"/>
        </w:rPr>
        <w:t xml:space="preserve">    第二十九条</w:t>
      </w:r>
      <w:r>
        <w:rPr>
          <w:rFonts w:hint="eastAsia" w:ascii="仿宋_GB2312" w:hAnsi="宋体"/>
          <w:szCs w:val="32"/>
        </w:rPr>
        <w:t xml:space="preserve">  浙江农商银行系统为丰收借记卡持卡人提供</w:t>
      </w:r>
      <w:r>
        <w:rPr>
          <w:rFonts w:hint="eastAsia" w:ascii="仿宋_GB2312" w:hAnsi="宋体"/>
          <w:spacing w:val="5"/>
          <w:szCs w:val="32"/>
        </w:rPr>
        <w:t>境外自动柜员机提取现金服务或其它服务，按中国</w:t>
      </w:r>
      <w:r>
        <w:rPr>
          <w:rFonts w:hint="eastAsia" w:ascii="仿宋_GB2312" w:hAnsi="宋体"/>
          <w:szCs w:val="32"/>
        </w:rPr>
        <w:t>银联或国际银行卡组织和浙江农商银行系统</w:t>
      </w:r>
      <w:r>
        <w:rPr>
          <w:rFonts w:hint="eastAsia" w:ascii="仿宋_GB2312" w:hAnsi="宋体"/>
          <w:spacing w:val="5"/>
          <w:szCs w:val="32"/>
        </w:rPr>
        <w:t>的有关规定制定费用收取标准。</w:t>
      </w:r>
    </w:p>
    <w:p>
      <w:pPr>
        <w:tabs>
          <w:tab w:val="left" w:pos="840"/>
        </w:tabs>
        <w:autoSpaceDE w:val="0"/>
        <w:autoSpaceDN w:val="0"/>
        <w:adjustRightInd w:val="0"/>
        <w:snapToGrid w:val="0"/>
        <w:spacing w:line="560" w:lineRule="exact"/>
        <w:jc w:val="center"/>
        <w:rPr>
          <w:rFonts w:ascii="黑体" w:hAnsi="宋体" w:eastAsia="黑体"/>
          <w:szCs w:val="32"/>
        </w:rPr>
      </w:pPr>
    </w:p>
    <w:p>
      <w:pPr>
        <w:tabs>
          <w:tab w:val="left" w:pos="840"/>
        </w:tabs>
        <w:autoSpaceDE w:val="0"/>
        <w:autoSpaceDN w:val="0"/>
        <w:adjustRightInd w:val="0"/>
        <w:snapToGrid w:val="0"/>
        <w:spacing w:line="560" w:lineRule="exact"/>
        <w:jc w:val="center"/>
        <w:rPr>
          <w:rFonts w:ascii="仿宋_GB2312" w:hAnsi="宋体"/>
          <w:szCs w:val="32"/>
        </w:rPr>
      </w:pPr>
      <w:r>
        <w:rPr>
          <w:rFonts w:hint="eastAsia" w:ascii="黑体" w:hAnsi="宋体" w:eastAsia="黑体"/>
          <w:szCs w:val="32"/>
        </w:rPr>
        <w:t>第六章  持卡人的权利和义务</w:t>
      </w:r>
    </w:p>
    <w:p>
      <w:pPr>
        <w:tabs>
          <w:tab w:val="left" w:pos="900"/>
          <w:tab w:val="left" w:pos="1080"/>
        </w:tabs>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b/>
          <w:szCs w:val="32"/>
        </w:rPr>
        <w:t>第三十条</w:t>
      </w:r>
      <w:r>
        <w:rPr>
          <w:rFonts w:hint="eastAsia" w:ascii="仿宋_GB2312" w:hAnsi="宋体"/>
          <w:szCs w:val="32"/>
        </w:rPr>
        <w:t xml:space="preserve">  持卡人的权利</w:t>
      </w:r>
    </w:p>
    <w:p>
      <w:pPr>
        <w:adjustRightInd w:val="0"/>
        <w:snapToGrid w:val="0"/>
        <w:spacing w:line="560" w:lineRule="exact"/>
        <w:ind w:firstLine="632" w:firstLineChars="200"/>
        <w:rPr>
          <w:rFonts w:ascii="仿宋_GB2312" w:hAnsi="宋体"/>
          <w:szCs w:val="32"/>
        </w:rPr>
      </w:pPr>
      <w:r>
        <w:rPr>
          <w:rFonts w:hint="eastAsia" w:ascii="仿宋_GB2312" w:hAnsi="宋体"/>
          <w:szCs w:val="32"/>
        </w:rPr>
        <w:t>（一）享有浙江农商银行系统对丰收借记卡所承诺的各项服务的权利，有权监督服务质量并对不符要求的服务进行投诉。</w:t>
      </w:r>
    </w:p>
    <w:p>
      <w:pPr>
        <w:adjustRightInd w:val="0"/>
        <w:snapToGrid w:val="0"/>
        <w:spacing w:line="560" w:lineRule="exact"/>
        <w:ind w:firstLine="632" w:firstLineChars="200"/>
        <w:rPr>
          <w:rFonts w:ascii="仿宋_GB2312" w:hAnsi="宋体"/>
          <w:szCs w:val="32"/>
        </w:rPr>
      </w:pPr>
      <w:r>
        <w:rPr>
          <w:rFonts w:hint="eastAsia" w:ascii="仿宋_GB2312" w:hAnsi="宋体"/>
          <w:szCs w:val="32"/>
        </w:rPr>
        <w:t>（二）有权知悉丰收借记卡的功能、使用方法、收费项目、收费标准、适用利率及有关的计算公式。</w:t>
      </w:r>
    </w:p>
    <w:p>
      <w:pPr>
        <w:tabs>
          <w:tab w:val="left" w:pos="406"/>
          <w:tab w:val="left" w:pos="900"/>
          <w:tab w:val="left" w:pos="1080"/>
        </w:tabs>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szCs w:val="32"/>
        </w:rPr>
        <w:t>（三）有权在发卡机构规定的时间内依相关规定到发卡机构网点或通过自助设备查询丰收借记卡账务、打印交易清单，并要求对有异议的账务内容进行查询。</w:t>
      </w:r>
    </w:p>
    <w:p>
      <w:pPr>
        <w:adjustRightInd w:val="0"/>
        <w:snapToGrid w:val="0"/>
        <w:spacing w:line="560" w:lineRule="exact"/>
        <w:ind w:firstLine="632" w:firstLineChars="200"/>
        <w:rPr>
          <w:rFonts w:ascii="仿宋_GB2312" w:hAnsi="宋体"/>
          <w:szCs w:val="32"/>
        </w:rPr>
      </w:pPr>
      <w:r>
        <w:rPr>
          <w:rFonts w:hint="eastAsia" w:ascii="仿宋_GB2312" w:hAnsi="宋体"/>
          <w:szCs w:val="32"/>
        </w:rPr>
        <w:t>（四）</w:t>
      </w:r>
      <w:r>
        <w:rPr>
          <w:rFonts w:hint="eastAsia" w:ascii="仿宋_GB2312"/>
          <w:szCs w:val="32"/>
        </w:rPr>
        <w:t>如有问题，持卡人可通过发卡机构营业网点、官方网站或拨打9</w:t>
      </w:r>
      <w:r>
        <w:rPr>
          <w:rFonts w:ascii="仿宋_GB2312"/>
          <w:szCs w:val="32"/>
        </w:rPr>
        <w:t>6596</w:t>
      </w:r>
      <w:r>
        <w:rPr>
          <w:rFonts w:hint="eastAsia" w:ascii="仿宋_GB2312"/>
          <w:szCs w:val="32"/>
        </w:rPr>
        <w:t>客户服务电话咨询</w:t>
      </w:r>
      <w:r>
        <w:rPr>
          <w:rFonts w:hint="eastAsia" w:ascii="仿宋_GB2312" w:hAnsi="宋体"/>
          <w:szCs w:val="32"/>
        </w:rPr>
        <w:t>。</w:t>
      </w:r>
    </w:p>
    <w:p>
      <w:pPr>
        <w:tabs>
          <w:tab w:val="left" w:pos="406"/>
          <w:tab w:val="left" w:pos="900"/>
          <w:tab w:val="left" w:pos="1080"/>
        </w:tabs>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b/>
          <w:szCs w:val="32"/>
        </w:rPr>
        <w:t>第三十一条</w:t>
      </w:r>
      <w:r>
        <w:rPr>
          <w:rFonts w:hint="eastAsia" w:ascii="仿宋_GB2312" w:hAnsi="宋体"/>
          <w:szCs w:val="32"/>
        </w:rPr>
        <w:t xml:space="preserve">  持卡人的义务</w:t>
      </w:r>
    </w:p>
    <w:p>
      <w:pPr>
        <w:tabs>
          <w:tab w:val="left" w:pos="406"/>
          <w:tab w:val="left" w:pos="900"/>
          <w:tab w:val="left" w:pos="1080"/>
        </w:tabs>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szCs w:val="32"/>
        </w:rPr>
        <w:t>（一）</w:t>
      </w:r>
      <w:r>
        <w:rPr>
          <w:rFonts w:hint="eastAsia" w:ascii="仿宋_GB2312" w:hAnsi="宋体"/>
          <w:b/>
          <w:bCs/>
          <w:szCs w:val="32"/>
        </w:rPr>
        <w:t>申请人应向发卡机构提供</w:t>
      </w:r>
      <w:r>
        <w:rPr>
          <w:rFonts w:hint="eastAsia" w:ascii="仿宋_GB2312"/>
          <w:b/>
          <w:bCs/>
          <w:szCs w:val="32"/>
        </w:rPr>
        <w:t>真实、准确、完整、合法、有效的资料。如有变更应及时修改。因未及时变更信息导致的结果由持卡人本人承担。对于留存的身份证件或者身份证明文件已过有效期，未在合理期限内更新且没有提出合理理由的，发卡机构有权中止为持卡人办理业务，直至持卡人提供有效的身份证件或者身份证明文件为止</w:t>
      </w:r>
      <w:r>
        <w:rPr>
          <w:rFonts w:hint="eastAsia" w:ascii="仿宋_GB2312" w:hAnsi="宋体"/>
          <w:b/>
          <w:bCs/>
          <w:szCs w:val="32"/>
        </w:rPr>
        <w:t>。</w:t>
      </w:r>
    </w:p>
    <w:p>
      <w:pPr>
        <w:tabs>
          <w:tab w:val="left" w:pos="406"/>
          <w:tab w:val="left" w:pos="900"/>
          <w:tab w:val="left" w:pos="1080"/>
        </w:tabs>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szCs w:val="32"/>
        </w:rPr>
        <w:t>（二）持卡人应妥善保管丰收借记卡并牢记密码。若丰收借记卡遗失、被盗，持卡人可通过浙江农商银行系统电子银行办理口头挂失，并在规定时间内携带本人有效身份证件到发卡机构营业网点办理书面挂失手续。如持卡人未在规定时间内办理书面挂失手续，丰收借记卡自动解挂。持卡人遗忘密码的，须持卡及本人有效身份证件到发卡机构营业网点申请挂失。因持卡人密码泄露、管理或使用不当而造成的一切经济损失，均由持卡人自行承担。丰收借记卡解挂需持卡人持本人有效身份证件到原挂失网点办理。</w:t>
      </w:r>
    </w:p>
    <w:p>
      <w:pPr>
        <w:tabs>
          <w:tab w:val="left" w:pos="406"/>
          <w:tab w:val="left" w:pos="675"/>
          <w:tab w:val="left" w:pos="900"/>
          <w:tab w:val="left" w:pos="1080"/>
        </w:tabs>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szCs w:val="32"/>
        </w:rPr>
        <w:t>（三）持卡人与特约商户发生的纠纷由双方自行解决，不得以纠纷为由拒绝支付消费款项。</w:t>
      </w:r>
    </w:p>
    <w:p>
      <w:pPr>
        <w:tabs>
          <w:tab w:val="left" w:pos="406"/>
          <w:tab w:val="left" w:pos="675"/>
          <w:tab w:val="left" w:pos="900"/>
          <w:tab w:val="left" w:pos="1080"/>
        </w:tabs>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szCs w:val="32"/>
        </w:rPr>
        <w:t>（四）持卡人不得以任何方式利用丰收借记卡进行各种违法违规活动，否则由此造成的法律后果由持卡人自行承担。</w:t>
      </w:r>
    </w:p>
    <w:p>
      <w:pPr>
        <w:tabs>
          <w:tab w:val="left" w:pos="406"/>
          <w:tab w:val="left" w:pos="675"/>
          <w:tab w:val="left" w:pos="900"/>
          <w:tab w:val="left" w:pos="1080"/>
        </w:tabs>
        <w:autoSpaceDE w:val="0"/>
        <w:autoSpaceDN w:val="0"/>
        <w:adjustRightInd w:val="0"/>
        <w:snapToGrid w:val="0"/>
        <w:spacing w:line="560" w:lineRule="exact"/>
        <w:ind w:firstLine="632" w:firstLineChars="200"/>
        <w:rPr>
          <w:rFonts w:ascii="仿宋_GB2312" w:hAnsi="宋体"/>
          <w:b/>
          <w:bCs/>
          <w:szCs w:val="32"/>
        </w:rPr>
      </w:pPr>
      <w:r>
        <w:rPr>
          <w:rFonts w:hint="eastAsia" w:ascii="仿宋_GB2312"/>
          <w:szCs w:val="32"/>
        </w:rPr>
        <w:t>（五）</w:t>
      </w:r>
      <w:r>
        <w:rPr>
          <w:rFonts w:hint="eastAsia" w:ascii="仿宋_GB2312"/>
          <w:b/>
          <w:bCs/>
          <w:szCs w:val="32"/>
        </w:rPr>
        <w:t>持卡人应充分了解并清楚知晓出租、出借、出售、购买借记卡和借记卡账户的相关法律责任和惩戒措施，承诺依法合规开立和使用本人借记卡和账户。</w:t>
      </w:r>
    </w:p>
    <w:p>
      <w:pPr>
        <w:tabs>
          <w:tab w:val="left" w:pos="406"/>
          <w:tab w:val="left" w:pos="900"/>
          <w:tab w:val="left" w:pos="1080"/>
        </w:tabs>
        <w:autoSpaceDE w:val="0"/>
        <w:autoSpaceDN w:val="0"/>
        <w:adjustRightInd w:val="0"/>
        <w:snapToGrid w:val="0"/>
        <w:spacing w:line="560" w:lineRule="exact"/>
        <w:ind w:firstLine="525"/>
        <w:rPr>
          <w:rFonts w:ascii="仿宋_GB2312" w:hAnsi="宋体"/>
          <w:szCs w:val="32"/>
        </w:rPr>
      </w:pPr>
    </w:p>
    <w:p>
      <w:pPr>
        <w:tabs>
          <w:tab w:val="left" w:pos="840"/>
        </w:tabs>
        <w:autoSpaceDE w:val="0"/>
        <w:autoSpaceDN w:val="0"/>
        <w:adjustRightInd w:val="0"/>
        <w:snapToGrid w:val="0"/>
        <w:spacing w:line="560" w:lineRule="exact"/>
        <w:jc w:val="center"/>
        <w:rPr>
          <w:rFonts w:ascii="仿宋_GB2312" w:hAnsi="宋体"/>
          <w:szCs w:val="32"/>
        </w:rPr>
      </w:pPr>
      <w:r>
        <w:rPr>
          <w:rFonts w:hint="eastAsia" w:ascii="黑体" w:hAnsi="宋体" w:eastAsia="黑体"/>
          <w:szCs w:val="32"/>
        </w:rPr>
        <w:t>第七章  发卡机构的权利和义务</w:t>
      </w:r>
    </w:p>
    <w:p>
      <w:pPr>
        <w:tabs>
          <w:tab w:val="left" w:pos="900"/>
          <w:tab w:val="left" w:pos="1080"/>
        </w:tabs>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b/>
          <w:szCs w:val="32"/>
        </w:rPr>
        <w:t>第三十二条</w:t>
      </w:r>
      <w:r>
        <w:rPr>
          <w:rFonts w:hint="eastAsia" w:ascii="仿宋_GB2312" w:hAnsi="宋体"/>
          <w:szCs w:val="32"/>
        </w:rPr>
        <w:t xml:space="preserve">  发卡机构的权利</w:t>
      </w:r>
    </w:p>
    <w:p>
      <w:pPr>
        <w:tabs>
          <w:tab w:val="left" w:pos="900"/>
          <w:tab w:val="left" w:pos="1080"/>
        </w:tabs>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szCs w:val="32"/>
        </w:rPr>
        <w:t>（一）有权审核申请人的资信状况，索取申请人的个人资料，并决定是否向申请人发卡。</w:t>
      </w:r>
    </w:p>
    <w:p>
      <w:pPr>
        <w:tabs>
          <w:tab w:val="left" w:pos="900"/>
          <w:tab w:val="left" w:pos="1080"/>
        </w:tabs>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szCs w:val="32"/>
        </w:rPr>
        <w:t>（二）对不遵守丰收借记卡章程及有关规定的持卡人，发卡机构有权不必预先通知即可取消其持卡人资格，并收回或委托有关单位收回丰收借记卡。对由于持卡人违背章程有关条款给发卡机构造成损失的，发卡机构有权申请法律保护并依法追究持卡人或有关当事人的法律责任。</w:t>
      </w:r>
    </w:p>
    <w:p>
      <w:pPr>
        <w:tabs>
          <w:tab w:val="left" w:pos="900"/>
          <w:tab w:val="left" w:pos="1080"/>
        </w:tabs>
        <w:autoSpaceDE w:val="0"/>
        <w:autoSpaceDN w:val="0"/>
        <w:adjustRightInd w:val="0"/>
        <w:snapToGrid w:val="0"/>
        <w:spacing w:line="560" w:lineRule="exact"/>
        <w:ind w:firstLine="632" w:firstLineChars="200"/>
        <w:rPr>
          <w:rFonts w:ascii="仿宋_GB2312"/>
          <w:szCs w:val="32"/>
        </w:rPr>
      </w:pPr>
      <w:r>
        <w:rPr>
          <w:rFonts w:hint="eastAsia" w:ascii="仿宋_GB2312" w:hAnsi="宋体"/>
          <w:szCs w:val="32"/>
        </w:rPr>
        <w:t>（三）</w:t>
      </w:r>
      <w:r>
        <w:rPr>
          <w:rFonts w:hint="eastAsia" w:ascii="仿宋_GB2312"/>
          <w:szCs w:val="32"/>
        </w:rPr>
        <w:t>因持卡人违反国家相关法律、法规、规章或本章程的规定，或出租、出借、出售、购买银行账户及未按发卡机构规定缴纳相关费用的，发卡机构有权停止向持卡人提供相应服务。</w:t>
      </w:r>
    </w:p>
    <w:p>
      <w:pPr>
        <w:tabs>
          <w:tab w:val="left" w:pos="900"/>
          <w:tab w:val="left" w:pos="1080"/>
        </w:tabs>
        <w:autoSpaceDE w:val="0"/>
        <w:autoSpaceDN w:val="0"/>
        <w:adjustRightInd w:val="0"/>
        <w:snapToGrid w:val="0"/>
        <w:spacing w:line="560" w:lineRule="exact"/>
        <w:ind w:firstLine="632" w:firstLineChars="200"/>
        <w:rPr>
          <w:rFonts w:ascii="仿宋_GB2312"/>
        </w:rPr>
      </w:pPr>
      <w:r>
        <w:rPr>
          <w:rFonts w:hint="eastAsia" w:ascii="仿宋_GB2312" w:hAnsi="宋体"/>
          <w:szCs w:val="32"/>
        </w:rPr>
        <w:t>（四）</w:t>
      </w:r>
      <w:r>
        <w:rPr>
          <w:rFonts w:hint="eastAsia" w:ascii="仿宋_GB2312"/>
          <w:szCs w:val="32"/>
        </w:rPr>
        <w:t>发卡机构有权依照法律的规定协助国家司法机关或其他有权机关对持卡人所持借记卡账户进行查询、冻结和扣划；有权根依据法律、法规、监管或其他规范性文件及风险管理需要，对持卡人所持借记卡账户进行查询和功能限制。</w:t>
      </w:r>
    </w:p>
    <w:p>
      <w:pPr>
        <w:tabs>
          <w:tab w:val="left" w:pos="900"/>
          <w:tab w:val="left" w:pos="1080"/>
        </w:tabs>
        <w:autoSpaceDE w:val="0"/>
        <w:autoSpaceDN w:val="0"/>
        <w:adjustRightInd w:val="0"/>
        <w:snapToGrid w:val="0"/>
        <w:spacing w:line="560" w:lineRule="exact"/>
        <w:ind w:firstLine="632" w:firstLineChars="200"/>
      </w:pPr>
      <w:r>
        <w:rPr>
          <w:rFonts w:hint="eastAsia" w:ascii="仿宋_GB2312"/>
          <w:szCs w:val="32"/>
        </w:rPr>
        <w:t>（五）因交易模式、结算或收费等原因发生账户欠款时，发卡机构有权向持卡人追偿欠款，直至持卡人还清欠款。</w:t>
      </w:r>
    </w:p>
    <w:p>
      <w:pPr>
        <w:tabs>
          <w:tab w:val="left" w:pos="180"/>
          <w:tab w:val="left" w:pos="406"/>
          <w:tab w:val="left" w:pos="900"/>
          <w:tab w:val="left" w:pos="1080"/>
        </w:tabs>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b/>
          <w:szCs w:val="32"/>
        </w:rPr>
        <w:t>第三十三条</w:t>
      </w:r>
      <w:r>
        <w:rPr>
          <w:rFonts w:hint="eastAsia" w:ascii="仿宋_GB2312" w:hAnsi="宋体"/>
          <w:szCs w:val="32"/>
        </w:rPr>
        <w:t xml:space="preserve">  发卡机构的义务</w:t>
      </w:r>
    </w:p>
    <w:p>
      <w:pPr>
        <w:tabs>
          <w:tab w:val="left" w:pos="180"/>
          <w:tab w:val="left" w:pos="406"/>
          <w:tab w:val="left" w:pos="900"/>
          <w:tab w:val="left" w:pos="1080"/>
        </w:tabs>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szCs w:val="32"/>
        </w:rPr>
        <w:t>（一）向申请人提供有关丰收借记卡的使用说明资料，包括章程、使用说明及收费标准。</w:t>
      </w:r>
    </w:p>
    <w:p>
      <w:pPr>
        <w:tabs>
          <w:tab w:val="left" w:pos="180"/>
          <w:tab w:val="left" w:pos="406"/>
          <w:tab w:val="left" w:pos="900"/>
          <w:tab w:val="left" w:pos="1080"/>
        </w:tabs>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szCs w:val="32"/>
        </w:rPr>
        <w:t>（二）公布咨询、投诉电话。对持卡人关于账务情况查询和改正要求及时答复和办理，最长不得超过</w:t>
      </w:r>
      <w:r>
        <w:rPr>
          <w:szCs w:val="32"/>
        </w:rPr>
        <w:t>30</w:t>
      </w:r>
      <w:r>
        <w:rPr>
          <w:rFonts w:hint="eastAsia" w:ascii="仿宋_GB2312" w:hAnsi="宋体"/>
          <w:szCs w:val="32"/>
        </w:rPr>
        <w:t>天。</w:t>
      </w:r>
    </w:p>
    <w:p>
      <w:pPr>
        <w:tabs>
          <w:tab w:val="left" w:pos="180"/>
          <w:tab w:val="left" w:pos="406"/>
          <w:tab w:val="left" w:pos="900"/>
          <w:tab w:val="left" w:pos="1080"/>
        </w:tabs>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szCs w:val="32"/>
        </w:rPr>
        <w:t>（三）向持卡人提供丰收借记卡交易明细查询。</w:t>
      </w:r>
    </w:p>
    <w:p>
      <w:pPr>
        <w:tabs>
          <w:tab w:val="left" w:pos="180"/>
          <w:tab w:val="left" w:pos="406"/>
          <w:tab w:val="left" w:pos="900"/>
        </w:tabs>
        <w:autoSpaceDE w:val="0"/>
        <w:autoSpaceDN w:val="0"/>
        <w:adjustRightInd w:val="0"/>
        <w:snapToGrid w:val="0"/>
        <w:spacing w:line="560" w:lineRule="exact"/>
        <w:ind w:firstLine="632" w:firstLineChars="200"/>
        <w:rPr>
          <w:rFonts w:ascii="仿宋_GB2312" w:hAnsi="宋体"/>
          <w:szCs w:val="32"/>
        </w:rPr>
      </w:pPr>
      <w:r>
        <w:rPr>
          <w:rFonts w:hint="eastAsia" w:ascii="仿宋_GB2312" w:hAnsi="宋体"/>
          <w:szCs w:val="32"/>
        </w:rPr>
        <w:t>（四）对持卡人的资信资料负有保密的责任。国家法律、法规另有规定的除外。</w:t>
      </w:r>
    </w:p>
    <w:p>
      <w:pPr>
        <w:tabs>
          <w:tab w:val="left" w:pos="180"/>
          <w:tab w:val="left" w:pos="406"/>
          <w:tab w:val="left" w:pos="900"/>
          <w:tab w:val="left" w:pos="1080"/>
        </w:tabs>
        <w:autoSpaceDE w:val="0"/>
        <w:autoSpaceDN w:val="0"/>
        <w:adjustRightInd w:val="0"/>
        <w:snapToGrid w:val="0"/>
        <w:spacing w:line="560" w:lineRule="exact"/>
        <w:ind w:firstLine="525"/>
        <w:rPr>
          <w:rFonts w:ascii="仿宋_GB2312" w:hAnsi="宋体"/>
          <w:szCs w:val="32"/>
        </w:rPr>
      </w:pPr>
    </w:p>
    <w:p>
      <w:pPr>
        <w:tabs>
          <w:tab w:val="left" w:pos="840"/>
        </w:tabs>
        <w:autoSpaceDE w:val="0"/>
        <w:autoSpaceDN w:val="0"/>
        <w:adjustRightInd w:val="0"/>
        <w:snapToGrid w:val="0"/>
        <w:spacing w:line="560" w:lineRule="exact"/>
        <w:jc w:val="center"/>
        <w:rPr>
          <w:rFonts w:ascii="仿宋_GB2312" w:hAnsi="宋体"/>
          <w:szCs w:val="32"/>
        </w:rPr>
      </w:pPr>
      <w:r>
        <w:rPr>
          <w:rFonts w:hint="eastAsia" w:ascii="黑体" w:hAnsi="宋体" w:eastAsia="黑体"/>
          <w:szCs w:val="32"/>
        </w:rPr>
        <w:t>第八章  附  则</w:t>
      </w:r>
    </w:p>
    <w:p>
      <w:pPr>
        <w:pStyle w:val="16"/>
        <w:tabs>
          <w:tab w:val="left" w:pos="675"/>
          <w:tab w:val="clear" w:pos="720"/>
        </w:tabs>
        <w:adjustRightInd w:val="0"/>
        <w:snapToGrid w:val="0"/>
        <w:spacing w:line="560" w:lineRule="exact"/>
        <w:ind w:left="0" w:firstLine="632" w:firstLineChars="200"/>
        <w:rPr>
          <w:rFonts w:ascii="仿宋_GB2312" w:hAnsi="宋体" w:eastAsia="仿宋_GB2312"/>
          <w:sz w:val="32"/>
          <w:szCs w:val="32"/>
        </w:rPr>
      </w:pPr>
      <w:r>
        <w:rPr>
          <w:rFonts w:hint="eastAsia" w:ascii="仿宋_GB2312" w:hAnsi="宋体" w:eastAsia="仿宋_GB2312"/>
          <w:b/>
          <w:sz w:val="32"/>
          <w:szCs w:val="32"/>
        </w:rPr>
        <w:t>第三十四条</w:t>
      </w:r>
      <w:r>
        <w:rPr>
          <w:rFonts w:hint="eastAsia" w:ascii="仿宋_GB2312" w:hAnsi="宋体" w:eastAsia="仿宋_GB2312"/>
          <w:sz w:val="32"/>
          <w:szCs w:val="32"/>
        </w:rPr>
        <w:t xml:space="preserve">  本章程未尽事宜，按照中国人民银行《银行卡业务管理办法》及其他有关政策法规执行。</w:t>
      </w:r>
    </w:p>
    <w:p>
      <w:pPr>
        <w:spacing w:line="560" w:lineRule="exact"/>
        <w:ind w:firstLine="632" w:firstLineChars="200"/>
        <w:rPr>
          <w:rFonts w:ascii="仿宋_GB2312"/>
          <w:snapToGrid w:val="0"/>
          <w:szCs w:val="32"/>
        </w:rPr>
      </w:pPr>
      <w:r>
        <w:rPr>
          <w:rFonts w:hint="eastAsia" w:ascii="仿宋_GB2312" w:hAnsi="宋体"/>
          <w:b/>
          <w:szCs w:val="32"/>
        </w:rPr>
        <w:t>第三十五条</w:t>
      </w:r>
      <w:r>
        <w:rPr>
          <w:rFonts w:hint="eastAsia" w:ascii="仿宋_GB2312"/>
          <w:szCs w:val="32"/>
        </w:rPr>
        <w:t xml:space="preserve">  本章程由浙江农商联合银行统一制定、修改和解释。</w:t>
      </w:r>
      <w:r>
        <w:rPr>
          <w:rFonts w:hint="eastAsia" w:ascii="仿宋_GB2312"/>
          <w:snapToGrid w:val="0"/>
          <w:szCs w:val="32"/>
        </w:rPr>
        <w:t>浙江农商联合银行根据业务发展需要，有权依据有关规定对本章程进行修订，在相关营业场所或网站进行公告，自公告之日起</w:t>
      </w:r>
      <w:r>
        <w:rPr>
          <w:snapToGrid w:val="0"/>
          <w:szCs w:val="32"/>
        </w:rPr>
        <w:t>30</w:t>
      </w:r>
      <w:r>
        <w:rPr>
          <w:rFonts w:hint="eastAsia" w:ascii="仿宋_GB2312"/>
          <w:snapToGrid w:val="0"/>
          <w:szCs w:val="32"/>
        </w:rPr>
        <w:t>日后生效。持卡人不接受该修改，可在公告期间内办理销户手续。超过公告期间仍未办理销户手续的，视为持卡人接受本章程的修改。</w:t>
      </w:r>
    </w:p>
    <w:p>
      <w:pPr>
        <w:snapToGrid w:val="0"/>
        <w:spacing w:line="560" w:lineRule="exact"/>
        <w:ind w:firstLine="632" w:firstLineChars="200"/>
        <w:rPr>
          <w:rFonts w:ascii="仿宋_GB2312"/>
          <w:snapToGrid w:val="0"/>
          <w:szCs w:val="32"/>
        </w:rPr>
      </w:pPr>
      <w:r>
        <w:rPr>
          <w:rFonts w:hint="eastAsia" w:ascii="仿宋_GB2312" w:hAnsi="宋体"/>
          <w:b/>
          <w:szCs w:val="32"/>
        </w:rPr>
        <w:t>第三十六条</w:t>
      </w:r>
      <w:r>
        <w:rPr>
          <w:rFonts w:hint="eastAsia" w:ascii="仿宋_GB2312"/>
          <w:snapToGrid w:val="0"/>
          <w:szCs w:val="32"/>
        </w:rPr>
        <w:t xml:space="preserve">  本章程自公布之日起正式施行。原《浙江省农村合作金融机构丰收借记卡章程（2</w:t>
      </w:r>
      <w:r>
        <w:rPr>
          <w:rFonts w:ascii="仿宋_GB2312"/>
          <w:snapToGrid w:val="0"/>
          <w:szCs w:val="32"/>
        </w:rPr>
        <w:t>013</w:t>
      </w:r>
      <w:r>
        <w:rPr>
          <w:rFonts w:hint="eastAsia" w:ascii="仿宋_GB2312"/>
          <w:snapToGrid w:val="0"/>
          <w:szCs w:val="32"/>
        </w:rPr>
        <w:t>版）》（浙信联发</w:t>
      </w:r>
      <w:r>
        <w:rPr>
          <w:snapToGrid w:val="0"/>
          <w:szCs w:val="32"/>
        </w:rPr>
        <w:t>〔2013〕44</w:t>
      </w:r>
      <w:r>
        <w:rPr>
          <w:rFonts w:hint="eastAsia" w:ascii="仿宋_GB2312"/>
          <w:snapToGrid w:val="0"/>
          <w:szCs w:val="32"/>
        </w:rPr>
        <w:t>号）同时废止。</w:t>
      </w:r>
    </w:p>
    <w:sectPr>
      <w:headerReference r:id="rId3" w:type="default"/>
      <w:footerReference r:id="rId4" w:type="default"/>
      <w:footerReference r:id="rId5" w:type="even"/>
      <w:pgSz w:w="11907" w:h="16840"/>
      <w:pgMar w:top="2098" w:right="1474" w:bottom="1985" w:left="1588" w:header="851" w:footer="1531"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 xml:space="preserve">— </w:t>
    </w:r>
    <w:r>
      <w:rPr>
        <w:rFonts w:hint="eastAsia" w:ascii="宋体" w:hAnsi="宋体" w:eastAsia="宋体"/>
        <w:sz w:val="28"/>
        <w:szCs w:val="28"/>
      </w:rPr>
      <w:fldChar w:fldCharType="begin"/>
    </w:r>
    <w:r>
      <w:rPr>
        <w:rStyle w:val="11"/>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11"/>
        <w:rFonts w:ascii="宋体" w:hAnsi="宋体" w:eastAsia="宋体"/>
        <w:sz w:val="28"/>
        <w:szCs w:val="28"/>
      </w:rPr>
      <w:t>27</w:t>
    </w:r>
    <w:r>
      <w:rPr>
        <w:rFonts w:hint="eastAsia" w:ascii="宋体" w:hAnsi="宋体" w:eastAsia="宋体"/>
        <w:sz w:val="28"/>
        <w:szCs w:val="28"/>
      </w:rPr>
      <w:fldChar w:fldCharType="end"/>
    </w:r>
    <w:r>
      <w:rPr>
        <w:rStyle w:val="11"/>
        <w:rFonts w:hint="eastAsia" w:ascii="宋体" w:hAnsi="宋体" w:eastAsia="宋体"/>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NDI5ZjE4ZTZmMDdhNWFlN2NiOWI4ZTk4NDIxOTgifQ=="/>
  </w:docVars>
  <w:rsids>
    <w:rsidRoot w:val="255D0532"/>
    <w:rsid w:val="0001370A"/>
    <w:rsid w:val="000168F2"/>
    <w:rsid w:val="00022D30"/>
    <w:rsid w:val="000241A0"/>
    <w:rsid w:val="000C0618"/>
    <w:rsid w:val="000F4634"/>
    <w:rsid w:val="000F5FDA"/>
    <w:rsid w:val="00115A1A"/>
    <w:rsid w:val="00173259"/>
    <w:rsid w:val="001A6A9C"/>
    <w:rsid w:val="001C5074"/>
    <w:rsid w:val="002100FB"/>
    <w:rsid w:val="002243C7"/>
    <w:rsid w:val="0028316F"/>
    <w:rsid w:val="002A1B20"/>
    <w:rsid w:val="002C5E61"/>
    <w:rsid w:val="002D02BA"/>
    <w:rsid w:val="00316069"/>
    <w:rsid w:val="00350F51"/>
    <w:rsid w:val="00377772"/>
    <w:rsid w:val="003C0092"/>
    <w:rsid w:val="00404701"/>
    <w:rsid w:val="0040693B"/>
    <w:rsid w:val="0049193F"/>
    <w:rsid w:val="00505438"/>
    <w:rsid w:val="005511E8"/>
    <w:rsid w:val="005A4470"/>
    <w:rsid w:val="005C545E"/>
    <w:rsid w:val="00616AB6"/>
    <w:rsid w:val="00636ED4"/>
    <w:rsid w:val="00663111"/>
    <w:rsid w:val="006730DB"/>
    <w:rsid w:val="0067498B"/>
    <w:rsid w:val="00696AD6"/>
    <w:rsid w:val="006A080D"/>
    <w:rsid w:val="006C2FAB"/>
    <w:rsid w:val="006D583B"/>
    <w:rsid w:val="006E253C"/>
    <w:rsid w:val="00712B08"/>
    <w:rsid w:val="007201DC"/>
    <w:rsid w:val="0072743A"/>
    <w:rsid w:val="00727B00"/>
    <w:rsid w:val="00761BF8"/>
    <w:rsid w:val="00793CFB"/>
    <w:rsid w:val="007B51BC"/>
    <w:rsid w:val="007D0001"/>
    <w:rsid w:val="007F3BFC"/>
    <w:rsid w:val="00827614"/>
    <w:rsid w:val="008745A1"/>
    <w:rsid w:val="008935F8"/>
    <w:rsid w:val="008B4647"/>
    <w:rsid w:val="008E416E"/>
    <w:rsid w:val="00914F6D"/>
    <w:rsid w:val="0091648A"/>
    <w:rsid w:val="00921765"/>
    <w:rsid w:val="00947D71"/>
    <w:rsid w:val="00962FBB"/>
    <w:rsid w:val="00964987"/>
    <w:rsid w:val="009D7882"/>
    <w:rsid w:val="009F05CE"/>
    <w:rsid w:val="009F582B"/>
    <w:rsid w:val="00A01793"/>
    <w:rsid w:val="00A16015"/>
    <w:rsid w:val="00A16957"/>
    <w:rsid w:val="00A33DE1"/>
    <w:rsid w:val="00A6429A"/>
    <w:rsid w:val="00AB30E7"/>
    <w:rsid w:val="00AC7EC3"/>
    <w:rsid w:val="00AD7032"/>
    <w:rsid w:val="00B048A9"/>
    <w:rsid w:val="00B3500A"/>
    <w:rsid w:val="00B367A5"/>
    <w:rsid w:val="00B865F5"/>
    <w:rsid w:val="00BC0800"/>
    <w:rsid w:val="00C13019"/>
    <w:rsid w:val="00C44635"/>
    <w:rsid w:val="00C77FE4"/>
    <w:rsid w:val="00C82A0F"/>
    <w:rsid w:val="00C85DB5"/>
    <w:rsid w:val="00C96BCF"/>
    <w:rsid w:val="00C97023"/>
    <w:rsid w:val="00CD275B"/>
    <w:rsid w:val="00CE30D9"/>
    <w:rsid w:val="00CF4EEA"/>
    <w:rsid w:val="00D42E58"/>
    <w:rsid w:val="00D45DFA"/>
    <w:rsid w:val="00D8117E"/>
    <w:rsid w:val="00DB21A2"/>
    <w:rsid w:val="00DB52D2"/>
    <w:rsid w:val="00DB64D3"/>
    <w:rsid w:val="00DC2C60"/>
    <w:rsid w:val="00DE0284"/>
    <w:rsid w:val="00E15169"/>
    <w:rsid w:val="00E3197D"/>
    <w:rsid w:val="00E37C28"/>
    <w:rsid w:val="00E7407F"/>
    <w:rsid w:val="00E740D4"/>
    <w:rsid w:val="00E80F6A"/>
    <w:rsid w:val="00E86408"/>
    <w:rsid w:val="00EC21DB"/>
    <w:rsid w:val="00F00BE2"/>
    <w:rsid w:val="00F478C7"/>
    <w:rsid w:val="00F93B65"/>
    <w:rsid w:val="00FE36B0"/>
    <w:rsid w:val="00FF237F"/>
    <w:rsid w:val="01303AC5"/>
    <w:rsid w:val="013B467D"/>
    <w:rsid w:val="022F483D"/>
    <w:rsid w:val="02534F2F"/>
    <w:rsid w:val="028E74E4"/>
    <w:rsid w:val="02DD05DB"/>
    <w:rsid w:val="03665C44"/>
    <w:rsid w:val="04623B89"/>
    <w:rsid w:val="04780BD2"/>
    <w:rsid w:val="04BD2075"/>
    <w:rsid w:val="04C91B27"/>
    <w:rsid w:val="05EA06F3"/>
    <w:rsid w:val="07027CB2"/>
    <w:rsid w:val="07BA5D8E"/>
    <w:rsid w:val="089A5D08"/>
    <w:rsid w:val="09C63218"/>
    <w:rsid w:val="09E85319"/>
    <w:rsid w:val="09EF276F"/>
    <w:rsid w:val="09F4422A"/>
    <w:rsid w:val="0A273CA8"/>
    <w:rsid w:val="0A9450C5"/>
    <w:rsid w:val="0A96708F"/>
    <w:rsid w:val="0B3062C6"/>
    <w:rsid w:val="0BDE7990"/>
    <w:rsid w:val="0C1A581C"/>
    <w:rsid w:val="0C66341B"/>
    <w:rsid w:val="0CD42C25"/>
    <w:rsid w:val="0D257D1E"/>
    <w:rsid w:val="0D42143D"/>
    <w:rsid w:val="0D4528F8"/>
    <w:rsid w:val="0D4C3043"/>
    <w:rsid w:val="0E02084B"/>
    <w:rsid w:val="0E463570"/>
    <w:rsid w:val="0E63372C"/>
    <w:rsid w:val="0EFC2181"/>
    <w:rsid w:val="0F103273"/>
    <w:rsid w:val="0FEE5277"/>
    <w:rsid w:val="10B41581"/>
    <w:rsid w:val="112A7458"/>
    <w:rsid w:val="11777117"/>
    <w:rsid w:val="11A81CA9"/>
    <w:rsid w:val="11EE5ACC"/>
    <w:rsid w:val="12966F1C"/>
    <w:rsid w:val="12A031DC"/>
    <w:rsid w:val="1384217A"/>
    <w:rsid w:val="13C6129B"/>
    <w:rsid w:val="13E175CD"/>
    <w:rsid w:val="141F192A"/>
    <w:rsid w:val="153C64B6"/>
    <w:rsid w:val="154D2A40"/>
    <w:rsid w:val="16044D80"/>
    <w:rsid w:val="1647017F"/>
    <w:rsid w:val="165E5368"/>
    <w:rsid w:val="16C3120C"/>
    <w:rsid w:val="17A9665A"/>
    <w:rsid w:val="181B4D8A"/>
    <w:rsid w:val="18527E8F"/>
    <w:rsid w:val="18830A65"/>
    <w:rsid w:val="19130F66"/>
    <w:rsid w:val="19212219"/>
    <w:rsid w:val="19B337B9"/>
    <w:rsid w:val="19EC4183"/>
    <w:rsid w:val="1A3E4776"/>
    <w:rsid w:val="1AB27A15"/>
    <w:rsid w:val="1C901AD3"/>
    <w:rsid w:val="1D597750"/>
    <w:rsid w:val="1D8316F5"/>
    <w:rsid w:val="1DAA2C80"/>
    <w:rsid w:val="1EDB569F"/>
    <w:rsid w:val="1F2B5BA0"/>
    <w:rsid w:val="1F655F6B"/>
    <w:rsid w:val="1FDA3FF0"/>
    <w:rsid w:val="1FFC753C"/>
    <w:rsid w:val="20070AE0"/>
    <w:rsid w:val="20196340"/>
    <w:rsid w:val="203E1C50"/>
    <w:rsid w:val="204C4020"/>
    <w:rsid w:val="20EA6C0F"/>
    <w:rsid w:val="219B7DD3"/>
    <w:rsid w:val="21D9080B"/>
    <w:rsid w:val="21F922A5"/>
    <w:rsid w:val="2226430A"/>
    <w:rsid w:val="226A39B5"/>
    <w:rsid w:val="22C2425F"/>
    <w:rsid w:val="22E70030"/>
    <w:rsid w:val="23005595"/>
    <w:rsid w:val="238A157A"/>
    <w:rsid w:val="23B10236"/>
    <w:rsid w:val="23E46C65"/>
    <w:rsid w:val="24647EF0"/>
    <w:rsid w:val="24F9229C"/>
    <w:rsid w:val="255D0532"/>
    <w:rsid w:val="258B246C"/>
    <w:rsid w:val="26153948"/>
    <w:rsid w:val="26347A30"/>
    <w:rsid w:val="265B580C"/>
    <w:rsid w:val="26646BFF"/>
    <w:rsid w:val="26E50E20"/>
    <w:rsid w:val="27765837"/>
    <w:rsid w:val="27D631A9"/>
    <w:rsid w:val="27DB32DE"/>
    <w:rsid w:val="2809339A"/>
    <w:rsid w:val="285F2D5E"/>
    <w:rsid w:val="28625E1E"/>
    <w:rsid w:val="28B0677A"/>
    <w:rsid w:val="28F56C8B"/>
    <w:rsid w:val="2A0F15E5"/>
    <w:rsid w:val="2AFF7528"/>
    <w:rsid w:val="2B193698"/>
    <w:rsid w:val="2B3B2976"/>
    <w:rsid w:val="2C2B053F"/>
    <w:rsid w:val="2CDB42CC"/>
    <w:rsid w:val="2D1337D9"/>
    <w:rsid w:val="2D5C169F"/>
    <w:rsid w:val="2EBC4A66"/>
    <w:rsid w:val="2EEA6EE6"/>
    <w:rsid w:val="2F0B35ED"/>
    <w:rsid w:val="2F524A74"/>
    <w:rsid w:val="2F5D7DA0"/>
    <w:rsid w:val="2F8B1B9C"/>
    <w:rsid w:val="2FC513C1"/>
    <w:rsid w:val="302A5A00"/>
    <w:rsid w:val="30D80971"/>
    <w:rsid w:val="318E3E6D"/>
    <w:rsid w:val="322E5C7B"/>
    <w:rsid w:val="323F6590"/>
    <w:rsid w:val="32BF1E19"/>
    <w:rsid w:val="34155D56"/>
    <w:rsid w:val="34A2504F"/>
    <w:rsid w:val="34A531C7"/>
    <w:rsid w:val="34DA1094"/>
    <w:rsid w:val="35021B45"/>
    <w:rsid w:val="35780FBB"/>
    <w:rsid w:val="364545BF"/>
    <w:rsid w:val="370B3BCE"/>
    <w:rsid w:val="376B527C"/>
    <w:rsid w:val="38FB4F74"/>
    <w:rsid w:val="39282003"/>
    <w:rsid w:val="398B3A60"/>
    <w:rsid w:val="3A1E1455"/>
    <w:rsid w:val="3A29024B"/>
    <w:rsid w:val="3A423537"/>
    <w:rsid w:val="3A99047D"/>
    <w:rsid w:val="3AB605BC"/>
    <w:rsid w:val="3AEC7F22"/>
    <w:rsid w:val="3AEF4029"/>
    <w:rsid w:val="3B0F1140"/>
    <w:rsid w:val="3B7364AD"/>
    <w:rsid w:val="3BA01DE4"/>
    <w:rsid w:val="3BB012F7"/>
    <w:rsid w:val="3CC964C6"/>
    <w:rsid w:val="3D403B93"/>
    <w:rsid w:val="3D9D3CB5"/>
    <w:rsid w:val="3DBC60C0"/>
    <w:rsid w:val="3E492DAA"/>
    <w:rsid w:val="3EC1066E"/>
    <w:rsid w:val="3F2D3497"/>
    <w:rsid w:val="3F5E1E6B"/>
    <w:rsid w:val="3F6F506D"/>
    <w:rsid w:val="40233C0D"/>
    <w:rsid w:val="40B95412"/>
    <w:rsid w:val="40E61B83"/>
    <w:rsid w:val="414D59F2"/>
    <w:rsid w:val="41DB2FFE"/>
    <w:rsid w:val="421C18B8"/>
    <w:rsid w:val="4242307D"/>
    <w:rsid w:val="42CD1A29"/>
    <w:rsid w:val="42CD3B05"/>
    <w:rsid w:val="434075BC"/>
    <w:rsid w:val="43805C0B"/>
    <w:rsid w:val="43966126"/>
    <w:rsid w:val="445D10D9"/>
    <w:rsid w:val="4575466F"/>
    <w:rsid w:val="478D3939"/>
    <w:rsid w:val="48360F8E"/>
    <w:rsid w:val="49297AC0"/>
    <w:rsid w:val="49DA3B9B"/>
    <w:rsid w:val="49ED38CE"/>
    <w:rsid w:val="4A4A6BA2"/>
    <w:rsid w:val="4AAA5C63"/>
    <w:rsid w:val="4AB813DE"/>
    <w:rsid w:val="4ABF3790"/>
    <w:rsid w:val="4ADD0B44"/>
    <w:rsid w:val="4ADD11D3"/>
    <w:rsid w:val="4B2B4FBC"/>
    <w:rsid w:val="4B4C46E0"/>
    <w:rsid w:val="4B6E4EE3"/>
    <w:rsid w:val="4CCE439A"/>
    <w:rsid w:val="4D494410"/>
    <w:rsid w:val="4D665B84"/>
    <w:rsid w:val="4D8D1115"/>
    <w:rsid w:val="4E7D7772"/>
    <w:rsid w:val="4E967144"/>
    <w:rsid w:val="4E9E4A21"/>
    <w:rsid w:val="4EAE78B8"/>
    <w:rsid w:val="4EC44F31"/>
    <w:rsid w:val="4EE7715A"/>
    <w:rsid w:val="507B7E86"/>
    <w:rsid w:val="50BD4809"/>
    <w:rsid w:val="5257047F"/>
    <w:rsid w:val="53480EBF"/>
    <w:rsid w:val="556829A3"/>
    <w:rsid w:val="56A22384"/>
    <w:rsid w:val="56C06EDD"/>
    <w:rsid w:val="56D402F0"/>
    <w:rsid w:val="57961A49"/>
    <w:rsid w:val="57FB1648"/>
    <w:rsid w:val="594F5511"/>
    <w:rsid w:val="597865A7"/>
    <w:rsid w:val="5A56726E"/>
    <w:rsid w:val="5A5C7AD8"/>
    <w:rsid w:val="5B436F28"/>
    <w:rsid w:val="5BCC5A39"/>
    <w:rsid w:val="5C00396E"/>
    <w:rsid w:val="5CE30CB6"/>
    <w:rsid w:val="5D9555C5"/>
    <w:rsid w:val="5EEB4C73"/>
    <w:rsid w:val="5F6456CA"/>
    <w:rsid w:val="60161984"/>
    <w:rsid w:val="60494F5F"/>
    <w:rsid w:val="60BE791B"/>
    <w:rsid w:val="610B33CC"/>
    <w:rsid w:val="61A460EF"/>
    <w:rsid w:val="63861055"/>
    <w:rsid w:val="6390265A"/>
    <w:rsid w:val="649C6624"/>
    <w:rsid w:val="64B61035"/>
    <w:rsid w:val="64CE025B"/>
    <w:rsid w:val="65F93CBA"/>
    <w:rsid w:val="66650F64"/>
    <w:rsid w:val="66CF5AB0"/>
    <w:rsid w:val="674C6DC9"/>
    <w:rsid w:val="675A1133"/>
    <w:rsid w:val="67E16ED5"/>
    <w:rsid w:val="688B10D6"/>
    <w:rsid w:val="699F09BE"/>
    <w:rsid w:val="6A892C6F"/>
    <w:rsid w:val="6AA76666"/>
    <w:rsid w:val="6AAF5D81"/>
    <w:rsid w:val="6B733833"/>
    <w:rsid w:val="6C711CE5"/>
    <w:rsid w:val="6D9B5B9D"/>
    <w:rsid w:val="6DC858CC"/>
    <w:rsid w:val="6E111AD5"/>
    <w:rsid w:val="6EAA7BC1"/>
    <w:rsid w:val="6F827AF8"/>
    <w:rsid w:val="72050FE3"/>
    <w:rsid w:val="727A4714"/>
    <w:rsid w:val="72BD26A0"/>
    <w:rsid w:val="7338091D"/>
    <w:rsid w:val="73774085"/>
    <w:rsid w:val="737D76F9"/>
    <w:rsid w:val="740B78DB"/>
    <w:rsid w:val="746B6F0D"/>
    <w:rsid w:val="74B40D91"/>
    <w:rsid w:val="760D1F80"/>
    <w:rsid w:val="769D2054"/>
    <w:rsid w:val="772B41EA"/>
    <w:rsid w:val="773A67EE"/>
    <w:rsid w:val="776C66D6"/>
    <w:rsid w:val="780A7727"/>
    <w:rsid w:val="784805D2"/>
    <w:rsid w:val="7AD04DF9"/>
    <w:rsid w:val="7B5A7E13"/>
    <w:rsid w:val="7B701160"/>
    <w:rsid w:val="7BF27C04"/>
    <w:rsid w:val="7D711B45"/>
    <w:rsid w:val="7DAB4C46"/>
    <w:rsid w:val="7DE60785"/>
    <w:rsid w:val="7E521178"/>
    <w:rsid w:val="7E530182"/>
    <w:rsid w:val="7E552ECA"/>
    <w:rsid w:val="7E9C52E7"/>
    <w:rsid w:val="7F034804"/>
    <w:rsid w:val="7FB250FF"/>
    <w:rsid w:val="7FB92B83"/>
    <w:rsid w:val="FEBD3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qFormat/>
    <w:uiPriority w:val="0"/>
    <w:pPr>
      <w:jc w:val="left"/>
    </w:pPr>
    <w:rPr>
      <w:rFonts w:eastAsia="宋体"/>
      <w:sz w:val="21"/>
      <w:szCs w:val="21"/>
    </w:rPr>
  </w:style>
  <w:style w:type="paragraph" w:styleId="5">
    <w:name w:val="Date"/>
    <w:basedOn w:val="1"/>
    <w:next w:val="1"/>
    <w:link w:val="20"/>
    <w:uiPriority w:val="0"/>
    <w:pPr>
      <w:ind w:left="100" w:leftChars="2500"/>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table" w:styleId="9">
    <w:name w:val="Table Grid"/>
    <w:basedOn w:val="8"/>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annotation reference"/>
    <w:qFormat/>
    <w:uiPriority w:val="0"/>
    <w:rPr>
      <w:sz w:val="21"/>
      <w:szCs w:val="21"/>
    </w:rPr>
  </w:style>
  <w:style w:type="character" w:customStyle="1" w:styleId="13">
    <w:name w:val="页脚 字符"/>
    <w:link w:val="6"/>
    <w:qFormat/>
    <w:uiPriority w:val="0"/>
    <w:rPr>
      <w:sz w:val="18"/>
      <w:szCs w:val="18"/>
    </w:rPr>
  </w:style>
  <w:style w:type="paragraph" w:customStyle="1" w:styleId="14">
    <w:name w:val="_Style 4"/>
    <w:basedOn w:val="1"/>
    <w:next w:val="1"/>
    <w:qFormat/>
    <w:uiPriority w:val="0"/>
  </w:style>
  <w:style w:type="paragraph" w:styleId="15">
    <w:name w:val="List Paragraph"/>
    <w:basedOn w:val="1"/>
    <w:qFormat/>
    <w:uiPriority w:val="99"/>
    <w:pPr>
      <w:ind w:firstLine="420" w:firstLineChars="200"/>
    </w:pPr>
  </w:style>
  <w:style w:type="paragraph" w:customStyle="1" w:styleId="16">
    <w:name w:val="一级标题"/>
    <w:basedOn w:val="1"/>
    <w:qFormat/>
    <w:uiPriority w:val="0"/>
    <w:pPr>
      <w:tabs>
        <w:tab w:val="left" w:pos="720"/>
      </w:tabs>
      <w:ind w:left="425" w:hanging="425"/>
    </w:pPr>
    <w:rPr>
      <w:rFonts w:eastAsia="宋体"/>
      <w:sz w:val="30"/>
    </w:rPr>
  </w:style>
  <w:style w:type="paragraph" w:customStyle="1" w:styleId="17">
    <w:name w:val="修订1"/>
    <w:hidden/>
    <w:semiHidden/>
    <w:qFormat/>
    <w:uiPriority w:val="99"/>
    <w:rPr>
      <w:rFonts w:ascii="Times New Roman" w:hAnsi="Times New Roman" w:eastAsia="仿宋_GB2312" w:cs="Times New Roman"/>
      <w:kern w:val="2"/>
      <w:sz w:val="32"/>
      <w:lang w:val="en-US" w:eastAsia="zh-CN" w:bidi="ar-SA"/>
    </w:rPr>
  </w:style>
  <w:style w:type="paragraph" w:customStyle="1" w:styleId="18">
    <w:name w:val="修订2"/>
    <w:hidden/>
    <w:semiHidden/>
    <w:qFormat/>
    <w:uiPriority w:val="99"/>
    <w:rPr>
      <w:rFonts w:ascii="Times New Roman" w:hAnsi="Times New Roman" w:eastAsia="仿宋_GB2312" w:cs="Times New Roman"/>
      <w:kern w:val="2"/>
      <w:sz w:val="32"/>
      <w:lang w:val="en-US" w:eastAsia="zh-CN" w:bidi="ar-SA"/>
    </w:rPr>
  </w:style>
  <w:style w:type="paragraph" w:customStyle="1" w:styleId="19">
    <w:name w:val="Revision"/>
    <w:hidden/>
    <w:semiHidden/>
    <w:uiPriority w:val="99"/>
    <w:rPr>
      <w:rFonts w:ascii="Times New Roman" w:hAnsi="Times New Roman" w:eastAsia="仿宋_GB2312" w:cs="Times New Roman"/>
      <w:kern w:val="2"/>
      <w:sz w:val="32"/>
      <w:lang w:val="en-US" w:eastAsia="zh-CN" w:bidi="ar-SA"/>
    </w:rPr>
  </w:style>
  <w:style w:type="character" w:customStyle="1" w:styleId="20">
    <w:name w:val="日期 字符"/>
    <w:basedOn w:val="10"/>
    <w:link w:val="5"/>
    <w:uiPriority w:val="0"/>
    <w:rPr>
      <w:rFonts w:eastAsia="仿宋_GB2312"/>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B33F5-C373-4EA5-A3F7-9C6B68711E99}">
  <ds:schemaRefs/>
</ds:datastoreItem>
</file>

<file path=docProps/app.xml><?xml version="1.0" encoding="utf-8"?>
<Properties xmlns="http://schemas.openxmlformats.org/officeDocument/2006/extended-properties" xmlns:vt="http://schemas.openxmlformats.org/officeDocument/2006/docPropsVTypes">
  <Template>Normal.dotm</Template>
  <Company>中国土木</Company>
  <Pages>10</Pages>
  <Words>4389</Words>
  <Characters>4417</Characters>
  <Lines>32</Lines>
  <Paragraphs>9</Paragraphs>
  <TotalTime>146</TotalTime>
  <ScaleCrop>false</ScaleCrop>
  <LinksUpToDate>false</LinksUpToDate>
  <CharactersWithSpaces>4513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2022-04-20T08:45:00Z</dcterms:created>
  <dc:creator>CJH</dc:creator>
  <cp:lastModifiedBy>cheyuelin</cp:lastModifiedBy>
  <cp:lastPrinted>2022-06-26T11:41:00Z</cp:lastPrinted>
  <dcterms:modified xsi:type="dcterms:W3CDTF">2023-04-18T00:27:37Z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FBC698020A2B4E3AA3217E67727DA4C6</vt:lpwstr>
  </property>
</Properties>
</file>