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/>
        <w:jc w:val="center"/>
        <w:rPr>
          <w:rFonts w:ascii="楷体" w:hAnsi="楷体" w:eastAsia="楷体" w:cs="楷体"/>
          <w:b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“</w:t>
      </w:r>
      <w:r>
        <w:rPr>
          <w:rFonts w:ascii="楷体" w:hAnsi="楷体" w:eastAsia="楷体"/>
          <w:b/>
          <w:sz w:val="36"/>
          <w:szCs w:val="36"/>
        </w:rPr>
        <w:t/>
      </w:r>
      <w:r>
        <w:rPr>
          <w:rFonts w:hint="eastAsia" w:ascii="楷体" w:hAnsi="楷体" w:eastAsia="楷体"/>
          <w:b/>
          <w:sz w:val="36"/>
          <w:szCs w:val="36"/>
        </w:rPr>
        <w:t/>
      </w:r>
      <w:r>
        <w:rPr>
          <w:rFonts w:ascii="楷体" w:hAnsi="楷体" w:eastAsia="楷体"/>
          <w:b/>
          <w:sz w:val="36"/>
          <w:szCs w:val="36"/>
        </w:rPr>
        <w:t>苏银理财恒源周开放1号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”</w:t>
      </w:r>
    </w:p>
    <w:p>
      <w:pPr>
        <w:widowControl/>
        <w:spacing w:after="156" w:afterLines="50"/>
        <w:jc w:val="center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理财产品开放期公告</w:t>
      </w:r>
    </w:p>
    <w:p>
      <w:pPr>
        <w:widowControl/>
        <w:rPr>
          <w:rFonts w:ascii="楷体" w:hAnsi="楷体" w:eastAsia="楷体" w:cs="楷体"/>
          <w:color w:val="000000"/>
          <w:kern w:val="0"/>
          <w:sz w:val="27"/>
          <w:szCs w:val="27"/>
        </w:rPr>
      </w:pP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尊敬的客户：</w:t>
      </w:r>
    </w:p>
    <w:p>
      <w:pPr>
        <w:widowControl/>
        <w:ind w:firstLine="540" w:firstLineChars="200"/>
        <w:rPr>
          <w:rFonts w:ascii="楷体" w:hAnsi="楷体" w:eastAsia="楷体" w:cs="楷体"/>
          <w:color w:val="000000"/>
          <w:kern w:val="0"/>
          <w:sz w:val="27"/>
          <w:szCs w:val="27"/>
        </w:rPr>
      </w:pP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“</w:t>
      </w:r>
      <w:r>
        <w:rPr>
          <w:rFonts w:ascii="楷体" w:hAnsi="楷体" w:eastAsia="楷体" w:cs="楷体"/>
          <w:color w:val="000000"/>
          <w:kern w:val="0"/>
          <w:sz w:val="27"/>
          <w:szCs w:val="27"/>
        </w:rPr>
        <w:t/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/>
      </w:r>
      <w:r>
        <w:rPr>
          <w:rFonts w:ascii="楷体" w:hAnsi="楷体" w:eastAsia="楷体" w:cs="楷体"/>
          <w:color w:val="000000"/>
          <w:kern w:val="0"/>
          <w:sz w:val="27"/>
          <w:szCs w:val="27"/>
        </w:rPr>
        <w:t>苏银理财恒源周开放1号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”已于</w:t>
      </w:r>
      <w:r>
        <w:rPr>
          <w:rFonts w:ascii="楷体" w:hAnsi="楷体" w:eastAsia="楷体" w:cs="楷体"/>
          <w:color w:val="000000"/>
          <w:kern w:val="0"/>
          <w:sz w:val="27"/>
          <w:szCs w:val="27"/>
        </w:rPr>
        <w:t>2024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年</w:t>
      </w:r>
      <w:r>
        <w:rPr>
          <w:rFonts w:ascii="楷体" w:hAnsi="楷体" w:eastAsia="楷体" w:cs="楷体"/>
          <w:color w:val="000000"/>
          <w:kern w:val="0"/>
          <w:sz w:val="27"/>
          <w:szCs w:val="27"/>
        </w:rPr>
        <w:t>4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月</w:t>
      </w:r>
      <w:r>
        <w:rPr>
          <w:rFonts w:ascii="楷体" w:hAnsi="楷体" w:eastAsia="楷体" w:cs="楷体"/>
          <w:color w:val="000000"/>
          <w:kern w:val="0"/>
          <w:sz w:val="27"/>
          <w:szCs w:val="27"/>
        </w:rPr>
        <w:t>18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日开放确认，管理人使用</w:t>
      </w:r>
      <w:r>
        <w:rPr>
          <w:rFonts w:ascii="楷体" w:hAnsi="楷体" w:eastAsia="楷体" w:cs="楷体"/>
          <w:color w:val="000000"/>
          <w:kern w:val="0"/>
          <w:sz w:val="27"/>
          <w:szCs w:val="27"/>
        </w:rPr>
        <w:t>2024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年</w:t>
      </w:r>
      <w:r>
        <w:rPr>
          <w:rFonts w:ascii="楷体" w:hAnsi="楷体" w:eastAsia="楷体" w:cs="楷体"/>
          <w:color w:val="000000"/>
          <w:kern w:val="0"/>
          <w:sz w:val="27"/>
          <w:szCs w:val="27"/>
        </w:rPr>
        <w:t>4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月</w:t>
      </w:r>
      <w:r>
        <w:rPr>
          <w:rFonts w:ascii="楷体" w:hAnsi="楷体" w:eastAsia="楷体" w:cs="楷体"/>
          <w:color w:val="000000"/>
          <w:kern w:val="0"/>
          <w:sz w:val="27"/>
          <w:szCs w:val="27"/>
        </w:rPr>
        <w:t>17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日的份额单位净值对各份额的申购/赎回申请进行确认。</w:t>
      </w:r>
      <w:r>
        <w:rPr>
          <w:rFonts w:ascii="楷体" w:hAnsi="楷体" w:eastAsia="楷体" w:cs="楷体"/>
          <w:color w:val="000000"/>
          <w:kern w:val="0"/>
          <w:sz w:val="27"/>
          <w:szCs w:val="27"/>
        </w:rPr>
        <w:t>2024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年</w:t>
      </w:r>
      <w:r>
        <w:rPr>
          <w:rFonts w:ascii="楷体" w:hAnsi="楷体" w:eastAsia="楷体" w:cs="楷体"/>
          <w:color w:val="000000"/>
          <w:kern w:val="0"/>
          <w:sz w:val="27"/>
          <w:szCs w:val="27"/>
        </w:rPr>
        <w:t>4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月</w:t>
      </w:r>
      <w:r>
        <w:rPr>
          <w:rFonts w:ascii="楷体" w:hAnsi="楷体" w:eastAsia="楷体" w:cs="楷体"/>
          <w:color w:val="000000"/>
          <w:kern w:val="0"/>
          <w:sz w:val="27"/>
          <w:szCs w:val="27"/>
        </w:rPr>
        <w:t>17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日净值信息如下：</w:t>
      </w:r>
    </w:p>
    <w:tbl>
      <w:tblPr>
        <w:tblStyle w:val="10"/>
        <w:tblW w:w="85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3005"/>
        <w:gridCol w:w="19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</w:rPr>
              <w:t>销售代码</w:t>
            </w:r>
          </w:p>
        </w:tc>
        <w:tc>
          <w:tcPr>
            <w:tcW w:w="3005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</w:rPr>
              <w:t>销售简称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</w:rPr>
              <w:t>单位净值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</w:rPr>
              <w:t>累计单位净值</w:t>
            </w:r>
          </w:p>
        </w:tc>
      </w:tr>
      <w:tr>
        <w:trPr>
          <w:jc w:val="center"/>
        </w:trPr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J172411SA799</w:t>
            </w:r>
          </w:p>
        </w:tc>
        <w:tc>
          <w:tcPr>
            <w:tcW w:w="3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苏银理财恒源周开放1号</w:t>
            </w:r>
          </w:p>
        </w:tc>
        <w:tc>
          <w:tcPr>
            <w:tcW w:w="1984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cs="楷体" w:eastAsia="楷体"/>
              </w:rPr>
              <w:t>1.272423</w:t>
            </w:r>
          </w:p>
        </w:tc>
        <w:tc>
          <w:tcPr>
            <w:tcW w:w="1984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cs="楷体" w:eastAsia="楷体"/>
              </w:rPr>
              <w:t>1.272423</w:t>
            </w:r>
          </w:p>
        </w:tc>
      </w:tr>
      <w:tr>
        <w:trPr>
          <w:jc w:val="center"/>
        </w:trPr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J172411SA79B</w:t>
            </w:r>
          </w:p>
        </w:tc>
        <w:tc>
          <w:tcPr>
            <w:tcW w:w="3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苏银理财恒源周开放1号-直销</w:t>
            </w:r>
          </w:p>
        </w:tc>
        <w:tc>
          <w:tcPr>
            <w:tcW w:w="1984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cs="楷体" w:eastAsia="楷体"/>
              </w:rPr>
              <w:t>1.272414</w:t>
            </w:r>
          </w:p>
        </w:tc>
        <w:tc>
          <w:tcPr>
            <w:tcW w:w="1984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cs="楷体" w:eastAsia="楷体"/>
              </w:rPr>
              <w:t>1.272414</w:t>
            </w:r>
          </w:p>
        </w:tc>
      </w:tr>
      <w:tr>
        <w:trPr>
          <w:jc w:val="center"/>
        </w:trPr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J172411SA79C</w:t>
            </w:r>
          </w:p>
        </w:tc>
        <w:tc>
          <w:tcPr>
            <w:tcW w:w="3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苏银理财恒源周开放1号D</w:t>
            </w:r>
          </w:p>
        </w:tc>
        <w:tc>
          <w:tcPr>
            <w:tcW w:w="1984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cs="楷体" w:eastAsia="楷体"/>
              </w:rPr>
              <w:t>1.275769</w:t>
            </w:r>
          </w:p>
        </w:tc>
        <w:tc>
          <w:tcPr>
            <w:tcW w:w="1984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cs="楷体" w:eastAsia="楷体"/>
              </w:rPr>
              <w:t>1.275769</w:t>
            </w:r>
          </w:p>
        </w:tc>
      </w:tr>
      <w:tr>
        <w:trPr>
          <w:jc w:val="center"/>
        </w:trPr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J02479</w:t>
            </w:r>
          </w:p>
        </w:tc>
        <w:tc>
          <w:tcPr>
            <w:tcW w:w="3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苏银理财恒源周开放1号E</w:t>
            </w:r>
          </w:p>
        </w:tc>
        <w:tc>
          <w:tcPr>
            <w:tcW w:w="1984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cs="楷体" w:eastAsia="楷体"/>
              </w:rPr>
              <w:t>1.275204</w:t>
            </w:r>
          </w:p>
        </w:tc>
        <w:tc>
          <w:tcPr>
            <w:tcW w:w="1984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cs="楷体" w:eastAsia="楷体"/>
              </w:rPr>
              <w:t>1.275204</w:t>
            </w:r>
          </w:p>
        </w:tc>
      </w:tr>
      <w:tr>
        <w:trPr>
          <w:jc w:val="center"/>
        </w:trPr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J01995</w:t>
            </w:r>
          </w:p>
        </w:tc>
        <w:tc>
          <w:tcPr>
            <w:tcW w:w="3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苏银理财恒源周开放1号F</w:t>
            </w:r>
          </w:p>
        </w:tc>
        <w:tc>
          <w:tcPr>
            <w:tcW w:w="1984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cs="楷体" w:eastAsia="楷体"/>
              </w:rPr>
              <w:t>1.272300</w:t>
            </w:r>
          </w:p>
        </w:tc>
        <w:tc>
          <w:tcPr>
            <w:tcW w:w="1984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cs="楷体" w:eastAsia="楷体"/>
              </w:rPr>
              <w:t>1.272300</w:t>
            </w:r>
          </w:p>
        </w:tc>
      </w:tr>
      <w:tr>
        <w:trPr>
          <w:jc w:val="center"/>
        </w:trPr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J02462</w:t>
            </w:r>
          </w:p>
        </w:tc>
        <w:tc>
          <w:tcPr>
            <w:tcW w:w="3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苏银理财恒源周开放1号G</w:t>
            </w:r>
          </w:p>
        </w:tc>
        <w:tc>
          <w:tcPr>
            <w:tcW w:w="1984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cs="楷体" w:eastAsia="楷体"/>
              </w:rPr>
              <w:t>1.273614</w:t>
            </w:r>
          </w:p>
        </w:tc>
        <w:tc>
          <w:tcPr>
            <w:tcW w:w="1984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cs="楷体" w:eastAsia="楷体"/>
              </w:rPr>
              <w:t>1.273614</w:t>
            </w:r>
          </w:p>
        </w:tc>
      </w:tr>
      <w:tr>
        <w:trPr>
          <w:jc w:val="center"/>
        </w:trPr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J02568</w:t>
            </w:r>
          </w:p>
        </w:tc>
        <w:tc>
          <w:tcPr>
            <w:tcW w:w="3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苏银理财恒源周开放1号W</w:t>
            </w:r>
          </w:p>
        </w:tc>
        <w:tc>
          <w:tcPr>
            <w:tcW w:w="1984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cs="楷体" w:eastAsia="楷体"/>
              </w:rPr>
              <w:t>1.272324</w:t>
            </w:r>
          </w:p>
        </w:tc>
        <w:tc>
          <w:tcPr>
            <w:tcW w:w="1984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cs="楷体" w:eastAsia="楷体"/>
              </w:rPr>
              <w:t>1.272324</w:t>
            </w:r>
          </w:p>
        </w:tc>
      </w:tr>
    </w:tbl>
    <w:p>
      <w:pPr>
        <w:widowControl/>
        <w:ind w:firstLine="540" w:firstLineChars="200"/>
        <w:jc w:val="left"/>
        <w:rPr>
          <w:rFonts w:hint="eastAsia" w:ascii="楷体" w:hAnsi="楷体" w:eastAsia="楷体" w:cs="楷体"/>
          <w:color w:val="000000"/>
          <w:kern w:val="0"/>
          <w:sz w:val="20"/>
          <w:szCs w:val="20"/>
        </w:rPr>
      </w:pP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各份额业绩表现如下：</w:t>
      </w:r>
    </w:p>
    <w:tbl>
      <w:tblPr>
        <w:tblStyle w:val="10"/>
        <w:tblW w:w="8615" w:type="dxa"/>
        <w:jc w:val="center"/>
        <w:tblInd w:w="0" w:type="dxa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0"/>
        <w:gridCol w:w="3247"/>
        <w:gridCol w:w="266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2662A2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</w:rPr>
              <w:t>销售代码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2662A2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</w:rPr>
              <w:t>销售简称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2662A2" w:fill="auto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</w:rPr>
              <w:t>上一投资周期收益率（年化）</w:t>
            </w:r>
          </w:p>
        </w:tc>
      </w:tr>
      <w:tr>
        <w:trPr>
          <w:trHeight w:val="170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top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J172411SA799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top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苏银理财恒源周开放1号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2.55%</w:t>
            </w:r>
          </w:p>
        </w:tc>
      </w:tr>
      <w:tr>
        <w:trPr>
          <w:trHeight w:val="170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top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J172411SA79B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top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苏银理财恒源周开放1号-直销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2.55%</w:t>
            </w:r>
          </w:p>
        </w:tc>
      </w:tr>
      <w:tr>
        <w:trPr>
          <w:trHeight w:val="170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top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J172411SA79C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top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苏银理财恒源周开放1号D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2.70%</w:t>
            </w:r>
          </w:p>
        </w:tc>
      </w:tr>
      <w:tr>
        <w:trPr>
          <w:trHeight w:val="170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top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J02479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top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苏银理财恒源周开放1号E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2.81%</w:t>
            </w:r>
          </w:p>
        </w:tc>
      </w:tr>
      <w:tr>
        <w:trPr>
          <w:trHeight w:val="170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top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J01995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top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苏银理财恒源周开放1号F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2.55%</w:t>
            </w:r>
          </w:p>
        </w:tc>
      </w:tr>
      <w:tr>
        <w:trPr>
          <w:trHeight w:val="170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top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J02462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top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苏银理财恒源周开放1号G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2.65%</w:t>
            </w:r>
          </w:p>
        </w:tc>
      </w:tr>
      <w:tr>
        <w:trPr>
          <w:trHeight w:val="170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top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J02568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top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苏银理财恒源周开放1号W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9" w:type="dxa"/>
              <w:left w:w="9" w:type="dxa"/>
              <w:right w:w="9" w:type="dxa"/>
            </w:tcMar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cs="楷体" w:eastAsia="楷体"/>
              </w:rPr>
              <w:t>2.45%</w:t>
            </w:r>
          </w:p>
        </w:tc>
      </w:tr>
    </w:tbl>
    <w:p>
      <w:pPr>
        <w:widowControl/>
        <w:spacing w:line="0" w:lineRule="atLeast"/>
        <w:jc w:val="left"/>
        <w:rPr>
          <w:rFonts w:hint="eastAsia" w:ascii="楷体" w:hAnsi="楷体" w:eastAsia="楷体" w:cs="楷体"/>
          <w:color w:val="000000"/>
          <w:kern w:val="0"/>
          <w:sz w:val="20"/>
          <w:szCs w:val="20"/>
        </w:rPr>
      </w:pPr>
    </w:p>
    <w:p>
      <w:pPr>
        <w:widowControl/>
        <w:spacing w:line="0" w:lineRule="atLeast"/>
        <w:jc w:val="left"/>
        <w:rPr>
          <w:rFonts w:hint="eastAsia" w:ascii="楷体" w:hAnsi="楷体" w:eastAsia="楷体" w:cs="楷体"/>
          <w:color w:val="000000"/>
          <w:kern w:val="0"/>
          <w:sz w:val="20"/>
          <w:szCs w:val="20"/>
        </w:rPr>
      </w:pPr>
      <w:r>
        <w:rPr>
          <w:rFonts w:hint="eastAsia" w:ascii="楷体" w:hAnsi="楷体" w:eastAsia="楷体" w:cs="楷体"/>
          <w:color w:val="000000"/>
          <w:kern w:val="0"/>
          <w:sz w:val="20"/>
          <w:szCs w:val="20"/>
        </w:rPr>
        <w:t>注：上一投资周期为</w:t>
      </w:r>
      <w:r>
        <w:rPr>
          <w:rFonts w:ascii="楷体" w:hAnsi="楷体" w:eastAsia="楷体" w:cs="楷体"/>
          <w:color w:val="000000"/>
          <w:kern w:val="0"/>
          <w:sz w:val="20"/>
          <w:szCs w:val="20"/>
        </w:rPr>
        <w:t>2024</w:t>
      </w:r>
      <w:r>
        <w:rPr>
          <w:rFonts w:hint="eastAsia" w:ascii="楷体" w:hAnsi="楷体" w:eastAsia="楷体" w:cs="楷体"/>
          <w:color w:val="000000"/>
          <w:kern w:val="0"/>
          <w:sz w:val="20"/>
          <w:szCs w:val="20"/>
        </w:rPr>
        <w:t>年</w:t>
      </w:r>
      <w:r>
        <w:rPr>
          <w:rFonts w:ascii="楷体" w:hAnsi="楷体" w:eastAsia="楷体" w:cs="楷体"/>
          <w:color w:val="000000"/>
          <w:kern w:val="0"/>
          <w:sz w:val="20"/>
          <w:szCs w:val="20"/>
        </w:rPr>
        <w:t>4</w:t>
      </w:r>
      <w:r>
        <w:rPr>
          <w:rFonts w:hint="eastAsia" w:ascii="楷体" w:hAnsi="楷体" w:eastAsia="楷体" w:cs="楷体"/>
          <w:color w:val="000000"/>
          <w:kern w:val="0"/>
          <w:sz w:val="20"/>
          <w:szCs w:val="20"/>
        </w:rPr>
        <w:t>月</w:t>
      </w:r>
      <w:r>
        <w:rPr>
          <w:rFonts w:ascii="楷体" w:hAnsi="楷体" w:eastAsia="楷体" w:cs="楷体"/>
          <w:color w:val="000000"/>
          <w:kern w:val="0"/>
          <w:sz w:val="20"/>
          <w:szCs w:val="20"/>
        </w:rPr>
        <w:t/>
      </w:r>
      <w:r>
        <w:rPr>
          <w:rFonts w:hint="eastAsia" w:ascii="楷体" w:hAnsi="楷体" w:eastAsia="楷体" w:cs="楷体"/>
          <w:color w:val="000000"/>
          <w:kern w:val="0"/>
          <w:sz w:val="20"/>
          <w:szCs w:val="20"/>
        </w:rPr>
        <w:t/>
      </w:r>
      <w:r>
        <w:rPr>
          <w:rFonts w:ascii="楷体" w:hAnsi="楷体" w:eastAsia="楷体" w:cs="楷体"/>
          <w:color w:val="000000"/>
          <w:kern w:val="0"/>
          <w:sz w:val="20"/>
          <w:szCs w:val="20"/>
        </w:rPr>
        <w:t>11</w:t>
      </w:r>
      <w:r>
        <w:rPr>
          <w:rFonts w:hint="eastAsia" w:ascii="楷体" w:hAnsi="楷体" w:eastAsia="楷体" w:cs="楷体"/>
          <w:color w:val="000000"/>
          <w:kern w:val="0"/>
          <w:sz w:val="20"/>
          <w:szCs w:val="20"/>
        </w:rPr>
        <w:t>日-</w:t>
      </w:r>
      <w:r>
        <w:rPr>
          <w:rFonts w:ascii="楷体" w:hAnsi="楷体" w:eastAsia="楷体" w:cs="楷体"/>
          <w:color w:val="000000"/>
          <w:kern w:val="0"/>
          <w:sz w:val="20"/>
          <w:szCs w:val="20"/>
        </w:rPr>
        <w:t>2024</w:t>
      </w:r>
      <w:r>
        <w:rPr>
          <w:rFonts w:hint="eastAsia" w:ascii="楷体" w:hAnsi="楷体" w:eastAsia="楷体" w:cs="楷体"/>
          <w:color w:val="000000"/>
          <w:kern w:val="0"/>
          <w:sz w:val="20"/>
          <w:szCs w:val="20"/>
        </w:rPr>
        <w:t>年</w:t>
      </w:r>
      <w:r>
        <w:rPr>
          <w:rFonts w:ascii="楷体" w:hAnsi="楷体" w:eastAsia="楷体" w:cs="楷体"/>
          <w:color w:val="000000"/>
          <w:kern w:val="0"/>
          <w:sz w:val="20"/>
          <w:szCs w:val="20"/>
        </w:rPr>
        <w:t>4</w:t>
      </w:r>
      <w:r>
        <w:rPr>
          <w:rFonts w:hint="eastAsia" w:ascii="楷体" w:hAnsi="楷体" w:eastAsia="楷体" w:cs="楷体"/>
          <w:color w:val="000000"/>
          <w:kern w:val="0"/>
          <w:sz w:val="20"/>
          <w:szCs w:val="20"/>
        </w:rPr>
        <w:t>月</w:t>
      </w:r>
      <w:r>
        <w:rPr>
          <w:rFonts w:ascii="楷体" w:hAnsi="楷体" w:eastAsia="楷体" w:cs="楷体"/>
          <w:color w:val="000000"/>
          <w:kern w:val="0"/>
          <w:sz w:val="20"/>
          <w:szCs w:val="20"/>
        </w:rPr>
        <w:t/>
      </w:r>
      <w:r>
        <w:rPr>
          <w:rFonts w:hint="eastAsia" w:ascii="楷体" w:hAnsi="楷体" w:eastAsia="楷体" w:cs="楷体"/>
          <w:color w:val="000000"/>
          <w:kern w:val="0"/>
          <w:sz w:val="20"/>
          <w:szCs w:val="20"/>
        </w:rPr>
        <w:t/>
      </w:r>
      <w:r>
        <w:rPr>
          <w:rFonts w:ascii="楷体" w:hAnsi="楷体" w:eastAsia="楷体" w:cs="楷体"/>
          <w:color w:val="000000"/>
          <w:kern w:val="0"/>
          <w:sz w:val="20"/>
          <w:szCs w:val="20"/>
        </w:rPr>
        <w:t>17</w:t>
      </w:r>
      <w:r>
        <w:rPr>
          <w:rFonts w:hint="eastAsia" w:ascii="楷体" w:hAnsi="楷体" w:eastAsia="楷体" w:cs="楷体"/>
          <w:color w:val="000000"/>
          <w:kern w:val="0"/>
          <w:sz w:val="20"/>
          <w:szCs w:val="20"/>
        </w:rPr>
        <w:t>日。</w:t>
      </w:r>
    </w:p>
    <w:p>
      <w:pPr>
        <w:widowControl/>
        <w:ind w:firstLine="540" w:firstLineChars="200"/>
        <w:jc w:val="left"/>
        <w:rPr>
          <w:rFonts w:ascii="楷体" w:hAnsi="楷体" w:eastAsia="楷体" w:cs="楷体"/>
          <w:color w:val="000000"/>
          <w:kern w:val="0"/>
          <w:sz w:val="27"/>
          <w:szCs w:val="27"/>
        </w:rPr>
      </w:pP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过往业绩仅供参考，不代表未来表现，不等于理财产品实际收益，投资须谨慎。</w:t>
      </w:r>
    </w:p>
    <w:p>
      <w:pPr>
        <w:widowControl/>
        <w:ind w:firstLine="540" w:firstLineChars="200"/>
        <w:jc w:val="left"/>
        <w:rPr>
          <w:rFonts w:ascii="楷体" w:hAnsi="楷体" w:eastAsia="楷体" w:cs="楷体"/>
          <w:color w:val="000000"/>
          <w:kern w:val="0"/>
          <w:sz w:val="27"/>
          <w:szCs w:val="27"/>
        </w:rPr>
      </w:pP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特此公告。</w:t>
      </w:r>
    </w:p>
    <w:p>
      <w:pPr>
        <w:widowControl/>
        <w:ind w:firstLine="540" w:firstLineChars="200"/>
        <w:jc w:val="right"/>
        <w:rPr>
          <w:rFonts w:ascii="楷体" w:hAnsi="楷体" w:eastAsia="楷体" w:cs="楷体"/>
          <w:color w:val="000000"/>
          <w:kern w:val="0"/>
          <w:sz w:val="27"/>
          <w:szCs w:val="27"/>
        </w:rPr>
      </w:pP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苏银理财有限责任公司</w:t>
      </w:r>
    </w:p>
    <w:p>
      <w:pPr>
        <w:widowControl/>
        <w:ind w:firstLine="540" w:firstLineChars="200"/>
        <w:jc w:val="right"/>
        <w:rPr>
          <w:rFonts w:ascii="楷体" w:hAnsi="楷体" w:eastAsia="楷体" w:cs="楷体"/>
          <w:color w:val="000000"/>
          <w:kern w:val="0"/>
          <w:sz w:val="27"/>
          <w:szCs w:val="27"/>
        </w:rPr>
      </w:pPr>
      <w:r>
        <w:rPr>
          <w:rFonts w:ascii="楷体" w:hAnsi="楷体" w:eastAsia="楷体" w:cs="楷体"/>
          <w:color w:val="000000"/>
          <w:kern w:val="0"/>
          <w:sz w:val="27"/>
          <w:szCs w:val="27"/>
        </w:rPr>
        <w:t>2024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年</w:t>
      </w:r>
      <w:r>
        <w:rPr>
          <w:rFonts w:ascii="楷体" w:hAnsi="楷体" w:eastAsia="楷体" w:cs="楷体"/>
          <w:color w:val="000000"/>
          <w:kern w:val="0"/>
          <w:sz w:val="27"/>
          <w:szCs w:val="27"/>
        </w:rPr>
        <w:t>4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月</w:t>
      </w:r>
      <w:r>
        <w:rPr>
          <w:rFonts w:ascii="楷体" w:hAnsi="楷体" w:eastAsia="楷体" w:cs="楷体"/>
          <w:color w:val="000000"/>
          <w:kern w:val="0"/>
          <w:sz w:val="27"/>
          <w:szCs w:val="27"/>
        </w:rPr>
        <w:t>18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日</w:t>
      </w:r>
    </w:p>
    <w:p>
      <w:pPr>
        <w:rPr>
          <w:rFonts w:ascii="楷体" w:hAnsi="楷体" w:eastAsia="楷体" w:cs="楷体"/>
        </w:rPr>
      </w:pPr>
    </w:p>
    <w:p>
      <w:pPr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备注：本次披露内容解释权归苏银理财所有，不构成任何形式的法律要约或承诺。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insoku w:val="0"/>
      <w:overflowPunct w:val="0"/>
      <w:spacing w:before="0" w:line="320" w:lineRule="exact"/>
      <w:ind w:left="20"/>
      <w:jc w:val="both"/>
      <w:rPr>
        <w:rFonts w:ascii="楷体" w:hAnsi="楷体" w:eastAsia="楷体" w:cs="黑体"/>
        <w:b/>
        <w:spacing w:val="-2"/>
        <w:sz w:val="24"/>
        <w:szCs w:val="24"/>
      </w:rPr>
    </w:pPr>
    <w:r>
      <w:rPr>
        <w:rFonts w:ascii="楷体" w:hAnsi="楷体" w:eastAsia="楷体"/>
        <w:b/>
      </w:rPr>
      <w:pict>
        <v:shape id="WordPictureWatermark367128483" o:spid="_x0000_s4098" o:spt="75" type="#_x0000_t75" style="position:absolute;left:0pt;height:862.85pt;width:1137.3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苏银理财"/>
          <o:lock v:ext="edit" aspectratio="t"/>
        </v:shape>
      </w:pict>
    </w: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3923665</wp:posOffset>
          </wp:positionH>
          <wp:positionV relativeFrom="paragraph">
            <wp:posOffset>-95250</wp:posOffset>
          </wp:positionV>
          <wp:extent cx="1325245" cy="424815"/>
          <wp:effectExtent l="0" t="0" r="8255" b="0"/>
          <wp:wrapSquare wrapText="bothSides"/>
          <wp:docPr id="1" name="图片 1" descr="说明: 说明: C:\Users\JSYH\Desktop\苏银理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说明: 说明: C:\Users\JSYH\Desktop\苏银理财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524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楷体" w:hAnsi="楷体" w:eastAsia="楷体" w:cs="黑体"/>
        <w:b/>
        <w:bCs/>
        <w:spacing w:val="-2"/>
        <w:sz w:val="24"/>
        <w:szCs w:val="24"/>
      </w:rPr>
      <w:t>理财非存款、产品有风险、投资须谨慎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WordPictureWatermark367128482" o:spid="_x0000_s4099" o:spt="75" type="#_x0000_t75" style="position:absolute;left:0pt;height:862.85pt;width:1137.3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苏银理财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WordPictureWatermark367128481" o:spid="_x0000_s4097" o:spt="75" type="#_x0000_t75" style="position:absolute;left:0pt;height:862.85pt;width:1137.3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苏银理财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0ZjE2ZGJmODM3N2NiNDJiYWY5YjdkYWE5MWQwMWMifQ=="/>
  </w:docVars>
  <w:rsids>
    <w:rsidRoot w:val="00C82298"/>
    <w:rsid w:val="00060B3C"/>
    <w:rsid w:val="000C729A"/>
    <w:rsid w:val="00191CA7"/>
    <w:rsid w:val="002010EC"/>
    <w:rsid w:val="00212BF8"/>
    <w:rsid w:val="00246CD5"/>
    <w:rsid w:val="002A12A3"/>
    <w:rsid w:val="002E297E"/>
    <w:rsid w:val="002F4B1C"/>
    <w:rsid w:val="00384393"/>
    <w:rsid w:val="00444F66"/>
    <w:rsid w:val="0053098E"/>
    <w:rsid w:val="0056651E"/>
    <w:rsid w:val="00572614"/>
    <w:rsid w:val="0066652C"/>
    <w:rsid w:val="00676A42"/>
    <w:rsid w:val="006B59C2"/>
    <w:rsid w:val="007C1CB0"/>
    <w:rsid w:val="007D2760"/>
    <w:rsid w:val="00805935"/>
    <w:rsid w:val="00812D85"/>
    <w:rsid w:val="008420B9"/>
    <w:rsid w:val="008626CF"/>
    <w:rsid w:val="008E2898"/>
    <w:rsid w:val="00905588"/>
    <w:rsid w:val="009D169F"/>
    <w:rsid w:val="00A9591A"/>
    <w:rsid w:val="00AE1428"/>
    <w:rsid w:val="00B0267E"/>
    <w:rsid w:val="00BC44F4"/>
    <w:rsid w:val="00C15EF6"/>
    <w:rsid w:val="00C82298"/>
    <w:rsid w:val="00CB3B08"/>
    <w:rsid w:val="00CC1DB4"/>
    <w:rsid w:val="00D12FB8"/>
    <w:rsid w:val="00D14797"/>
    <w:rsid w:val="00D71270"/>
    <w:rsid w:val="00E72933"/>
    <w:rsid w:val="00F82353"/>
    <w:rsid w:val="409A6CA3"/>
    <w:rsid w:val="472332B4"/>
    <w:rsid w:val="479A3771"/>
    <w:rsid w:val="6F00275F"/>
    <w:rsid w:val="73BD3516"/>
    <w:rsid w:val="73F8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1"/>
    <w:unhideWhenUsed/>
    <w:qFormat/>
    <w:uiPriority w:val="99"/>
    <w:pPr>
      <w:jc w:val="left"/>
    </w:pPr>
  </w:style>
  <w:style w:type="paragraph" w:styleId="4">
    <w:name w:val="Body Text"/>
    <w:basedOn w:val="1"/>
    <w:link w:val="12"/>
    <w:qFormat/>
    <w:uiPriority w:val="1"/>
    <w:pPr>
      <w:autoSpaceDE w:val="0"/>
      <w:autoSpaceDN w:val="0"/>
      <w:adjustRightInd w:val="0"/>
      <w:spacing w:before="162"/>
      <w:ind w:left="120"/>
      <w:jc w:val="left"/>
    </w:pPr>
    <w:rPr>
      <w:rFonts w:ascii="宋体"/>
      <w:kern w:val="0"/>
      <w:sz w:val="20"/>
      <w:szCs w:val="21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8"/>
    <w:link w:val="3"/>
    <w:qFormat/>
    <w:uiPriority w:val="99"/>
    <w:rPr>
      <w:rFonts w:ascii="Times New Roman" w:hAnsi="Times New Roman" w:eastAsia="宋体" w:cs="Times New Roman"/>
    </w:rPr>
  </w:style>
  <w:style w:type="character" w:customStyle="1" w:styleId="12">
    <w:name w:val="正文文本 字符"/>
    <w:basedOn w:val="8"/>
    <w:link w:val="4"/>
    <w:qFormat/>
    <w:uiPriority w:val="1"/>
    <w:rPr>
      <w:rFonts w:ascii="宋体" w:hAnsi="Times New Roman" w:eastAsia="宋体" w:cs="Times New Roman"/>
      <w:kern w:val="0"/>
      <w:sz w:val="20"/>
      <w:szCs w:val="21"/>
    </w:rPr>
  </w:style>
  <w:style w:type="character" w:customStyle="1" w:styleId="13">
    <w:name w:val="页脚 字符"/>
    <w:basedOn w:val="8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4">
    <w:name w:val="页眉 字符"/>
    <w:basedOn w:val="8"/>
    <w:link w:val="7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5">
    <w:name w:val="批注框文本 字符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主题 字符"/>
    <w:basedOn w:val="11"/>
    <w:link w:val="2"/>
    <w:semiHidden/>
    <w:qFormat/>
    <w:uiPriority w:val="99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header3.xml" Type="http://schemas.openxmlformats.org/officeDocument/2006/relationships/header"/><Relationship Id="rId6" Target="footer1.xml" Type="http://schemas.openxmlformats.org/officeDocument/2006/relationships/footer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/Relationships>
</file>

<file path=word/_rels/head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header3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1</Pages>
  <Words>271</Words>
  <Characters>686</Characters>
  <Lines>5</Lines>
  <Paragraphs>1</Paragraphs>
  <TotalTime>0</TotalTime>
  <ScaleCrop>false</ScaleCrop>
  <LinksUpToDate>false</LinksUpToDate>
  <CharactersWithSpaces>687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2023-08-01T10:40:00Z</dcterms:created>
  <dc:creator>User</dc:creator>
  <cp:lastModifiedBy>User</cp:lastModifiedBy>
  <dcterms:modified xsi:type="dcterms:W3CDTF">2024-03-04T07:45:35Z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B6DFC727162244C79636D651D7D6EB42</vt:lpwstr>
  </property>
</Properties>
</file>