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幸福99丰裕固收（安享优选）133天24128期理财A款</w:t>
      </w:r>
    </w:p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592C0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592C0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幸福99丰裕固收（安享优选）133天24128期理财A款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2024年10月9日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幸福99丰裕固收（安享优选）133天24128期理财A款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FYG24128A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Z7002224000146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2024-05-29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2024-10-09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累计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1.0095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1.0095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2.50%-2.60%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2.6071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收益分配情况（单位：万元）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40.44</w:t>
            </w:r>
          </w:p>
        </w:tc>
      </w:tr>
    </w:tbl>
    <w:p w:rsidR="00592C06">
      <w:pPr>
        <w:rPr>
          <w:rFonts w:asciiTheme="minorEastAsia" w:hAnsiTheme="minorEastAsia" w:cstheme="minorEastAsia"/>
          <w:sz w:val="24"/>
          <w:szCs w:val="22"/>
        </w:rPr>
      </w:pPr>
    </w:p>
    <w:p w:rsidR="00592C0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592C06">
      <w:pPr>
        <w:rPr>
          <w:rFonts w:asciiTheme="minorEastAsia" w:hAnsiTheme="minorEastAsia" w:cstheme="minorEastAsia"/>
          <w:sz w:val="24"/>
        </w:rPr>
      </w:pPr>
    </w:p>
    <w:p w:rsidR="00592C0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9D66D1" w:rsidP="009D66D1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 w:rsidRPr="009D66D1"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</w:t>
      </w:r>
      <w:r>
        <w:rPr>
          <w:rFonts w:asciiTheme="minorEastAsia" w:hAnsiTheme="minorEastAsia" w:cstheme="minorEastAsia" w:hint="eastAsia"/>
          <w:sz w:val="24"/>
        </w:rPr>
        <w:t>浮动管理费为产品实际业绩超出产品说明书中约定的提取标准后，管理人对超出部分收取的超额业绩报酬比例。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各期理财产品详细信息可根据产品登记编码登陆中国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592C0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592C0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592C0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592C0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2024年10月10日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C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3841A4"/>
    <w:rsid w:val="00412E97"/>
    <w:rsid w:val="00592C06"/>
    <w:rsid w:val="00603D57"/>
    <w:rsid w:val="00632F14"/>
    <w:rsid w:val="0073172D"/>
    <w:rsid w:val="009D66D1"/>
    <w:rsid w:val="00C47DF8"/>
    <w:rsid w:val="00C87BF7"/>
    <w:rsid w:val="00D00D6A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C42244"/>
  <w15:docId w15:val="{F73BED26-A2A9-4AAD-96C5-553AC6DA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285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