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E5830F">
      <w:pPr>
        <w:jc w:val="center"/>
        <w:rPr>
          <w:rFonts w:hint="eastAsia" w:ascii="宋体" w:hAnsi="宋体" w:eastAsia="宋体" w:cs="宋体"/>
          <w:b/>
          <w:bCs/>
          <w:sz w:val="32"/>
          <w:szCs w:val="32"/>
        </w:rPr>
      </w:pPr>
      <w:r>
        <w:rPr>
          <w:rFonts w:hint="eastAsia" w:ascii="宋体" w:hAnsi="宋体" w:eastAsia="宋体" w:cs="宋体"/>
          <w:b/>
          <w:bCs/>
          <w:sz w:val="32"/>
          <w:szCs w:val="32"/>
        </w:rPr>
        <w:t>上虞农商银行“丰收信福”2024年第25期封闭式净值型人民币理财产品2024年</w:t>
      </w:r>
      <w:r>
        <w:rPr>
          <w:rFonts w:hint="eastAsia" w:ascii="宋体" w:hAnsi="宋体" w:eastAsia="宋体" w:cs="宋体"/>
          <w:b/>
          <w:bCs/>
          <w:sz w:val="32"/>
          <w:szCs w:val="32"/>
          <w:lang w:eastAsia="zh-CN"/>
        </w:rPr>
        <w:t>年度</w:t>
      </w:r>
      <w:r>
        <w:rPr>
          <w:rFonts w:hint="eastAsia" w:ascii="宋体" w:hAnsi="宋体" w:eastAsia="宋体" w:cs="宋体"/>
          <w:b/>
          <w:bCs/>
          <w:sz w:val="32"/>
          <w:szCs w:val="32"/>
        </w:rPr>
        <w:t>报告</w:t>
      </w:r>
    </w:p>
    <w:p w14:paraId="2E7B4EA9">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产品基本信息</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4328"/>
      </w:tblGrid>
      <w:tr w14:paraId="404B6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143DE93">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产品信息</w:t>
            </w:r>
          </w:p>
        </w:tc>
        <w:tc>
          <w:tcPr>
            <w:tcW w:w="4328" w:type="dxa"/>
          </w:tcPr>
          <w:p w14:paraId="5365027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要素内容</w:t>
            </w:r>
          </w:p>
        </w:tc>
      </w:tr>
      <w:tr w14:paraId="069D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vAlign w:val="center"/>
          </w:tcPr>
          <w:p w14:paraId="73A85B9A">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产品名称</w:t>
            </w:r>
          </w:p>
        </w:tc>
        <w:tc>
          <w:tcPr>
            <w:tcW w:w="4328" w:type="dxa"/>
          </w:tcPr>
          <w:p w14:paraId="2FF1A04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上虞农商银行“丰收信福”2024年第25期封闭式净值型人民币理财产品</w:t>
            </w:r>
          </w:p>
        </w:tc>
      </w:tr>
      <w:tr w14:paraId="25F53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8CD9A7A">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产品代码</w:t>
            </w:r>
          </w:p>
        </w:tc>
        <w:tc>
          <w:tcPr>
            <w:tcW w:w="4328" w:type="dxa"/>
          </w:tcPr>
          <w:p w14:paraId="0424630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FSXFFBJZ8922024025</w:t>
            </w:r>
          </w:p>
        </w:tc>
      </w:tr>
      <w:tr w14:paraId="5907B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C0C17D2">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理财产品登记编码</w:t>
            </w:r>
          </w:p>
        </w:tc>
        <w:tc>
          <w:tcPr>
            <w:tcW w:w="4328" w:type="dxa"/>
          </w:tcPr>
          <w:p w14:paraId="00025F0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C1124924000024</w:t>
            </w:r>
          </w:p>
        </w:tc>
      </w:tr>
      <w:tr w14:paraId="4B147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586D968">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产品成立日</w:t>
            </w:r>
          </w:p>
        </w:tc>
        <w:tc>
          <w:tcPr>
            <w:tcW w:w="4328" w:type="dxa"/>
            <w:vAlign w:val="center"/>
          </w:tcPr>
          <w:p w14:paraId="2B447B4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2024/06/12</w:t>
            </w:r>
          </w:p>
        </w:tc>
      </w:tr>
      <w:tr w14:paraId="34453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931E0F5">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产品到期日</w:t>
            </w:r>
          </w:p>
        </w:tc>
        <w:tc>
          <w:tcPr>
            <w:tcW w:w="4328" w:type="dxa"/>
          </w:tcPr>
          <w:p w14:paraId="0F88984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2025/06/12</w:t>
            </w:r>
          </w:p>
        </w:tc>
      </w:tr>
      <w:tr w14:paraId="0AF6F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21E3C73">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产品类型</w:t>
            </w:r>
          </w:p>
        </w:tc>
        <w:tc>
          <w:tcPr>
            <w:tcW w:w="4328" w:type="dxa"/>
          </w:tcPr>
          <w:p w14:paraId="0741DFB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非保本浮动收益型</w:t>
            </w:r>
          </w:p>
        </w:tc>
      </w:tr>
      <w:tr w14:paraId="066A0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2B5F618">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产品风险等级</w:t>
            </w:r>
          </w:p>
        </w:tc>
        <w:tc>
          <w:tcPr>
            <w:tcW w:w="4328" w:type="dxa"/>
          </w:tcPr>
          <w:p w14:paraId="423FBDE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PR2中低风险</w:t>
            </w:r>
          </w:p>
        </w:tc>
      </w:tr>
      <w:tr w14:paraId="1A418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71497EE">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托管人</w:t>
            </w:r>
          </w:p>
        </w:tc>
        <w:tc>
          <w:tcPr>
            <w:tcW w:w="4328" w:type="dxa"/>
          </w:tcPr>
          <w:p w14:paraId="2DE3ACD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兴业银行股份有限公司</w:t>
            </w:r>
          </w:p>
        </w:tc>
      </w:tr>
      <w:tr w14:paraId="7786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562B477">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管理人</w:t>
            </w:r>
          </w:p>
        </w:tc>
        <w:tc>
          <w:tcPr>
            <w:tcW w:w="4328" w:type="dxa"/>
          </w:tcPr>
          <w:p w14:paraId="630A47D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浙江上虞农村商业银行股份有限公司</w:t>
            </w:r>
          </w:p>
        </w:tc>
      </w:tr>
      <w:tr w14:paraId="3720D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22412B3">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理财币种</w:t>
            </w:r>
          </w:p>
        </w:tc>
        <w:tc>
          <w:tcPr>
            <w:tcW w:w="4328" w:type="dxa"/>
          </w:tcPr>
          <w:p w14:paraId="04DBC12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人民币</w:t>
            </w:r>
          </w:p>
        </w:tc>
      </w:tr>
      <w:tr w14:paraId="2106B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CB5AE56">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业绩比较基准</w:t>
            </w:r>
          </w:p>
        </w:tc>
        <w:tc>
          <w:tcPr>
            <w:tcW w:w="4328" w:type="dxa"/>
          </w:tcPr>
          <w:p w14:paraId="3C011A4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2.60-3.10%</w:t>
            </w:r>
          </w:p>
        </w:tc>
      </w:tr>
      <w:tr w14:paraId="45136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FA4B965">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产品托管费率</w:t>
            </w:r>
          </w:p>
        </w:tc>
        <w:tc>
          <w:tcPr>
            <w:tcW w:w="4328" w:type="dxa"/>
          </w:tcPr>
          <w:p w14:paraId="5DBA09C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0.010%</w:t>
            </w:r>
          </w:p>
        </w:tc>
      </w:tr>
      <w:tr w14:paraId="0D196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093D0E1">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产品外包估值费率</w:t>
            </w:r>
          </w:p>
        </w:tc>
        <w:tc>
          <w:tcPr>
            <w:tcW w:w="4328" w:type="dxa"/>
          </w:tcPr>
          <w:p w14:paraId="637EB05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0.005%</w:t>
            </w:r>
          </w:p>
        </w:tc>
      </w:tr>
      <w:tr w14:paraId="4046B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475AF17">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报告期末资产净值（元）</w:t>
            </w:r>
          </w:p>
        </w:tc>
        <w:tc>
          <w:tcPr>
            <w:tcW w:w="4328" w:type="dxa"/>
            <w:vAlign w:val="center"/>
          </w:tcPr>
          <w:p w14:paraId="46E3D31B">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b/>
                <w:bCs/>
                <w:kern w:val="0"/>
                <w:sz w:val="24"/>
                <w:szCs w:val="24"/>
              </w:rPr>
              <w:t>16408000</w:t>
            </w:r>
          </w:p>
        </w:tc>
      </w:tr>
      <w:tr w14:paraId="7F790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5607015">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报告期末理财产品份额（份）</w:t>
            </w:r>
          </w:p>
        </w:tc>
        <w:tc>
          <w:tcPr>
            <w:tcW w:w="4328" w:type="dxa"/>
            <w:vAlign w:val="center"/>
          </w:tcPr>
          <w:p w14:paraId="5BEED533">
            <w:pPr>
              <w:widowControl/>
              <w:jc w:val="center"/>
              <w:textAlignment w:val="center"/>
              <w:rPr>
                <w:rFonts w:hint="eastAsia" w:ascii="宋体" w:hAnsi="宋体" w:eastAsia="宋体" w:cs="宋体"/>
                <w:b/>
                <w:bCs/>
                <w:kern w:val="0"/>
                <w:sz w:val="24"/>
                <w:szCs w:val="24"/>
              </w:rPr>
            </w:pPr>
            <w:r>
              <w:rPr>
                <w:rFonts w:hint="eastAsia" w:ascii="宋体" w:hAnsi="宋体" w:eastAsia="宋体" w:cs="宋体"/>
                <w:b/>
                <w:bCs/>
                <w:kern w:val="0"/>
                <w:sz w:val="24"/>
                <w:szCs w:val="24"/>
              </w:rPr>
              <w:t>16000000</w:t>
            </w:r>
          </w:p>
        </w:tc>
      </w:tr>
    </w:tbl>
    <w:p w14:paraId="08A65350">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产品收益表现</w:t>
      </w:r>
    </w:p>
    <w:p w14:paraId="6A581ED9">
      <w:pPr>
        <w:numPr>
          <w:ilvl w:val="0"/>
          <w:numId w:val="2"/>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份额净值情况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06B80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2785133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期末日期</w:t>
            </w:r>
          </w:p>
        </w:tc>
        <w:tc>
          <w:tcPr>
            <w:tcW w:w="2841" w:type="dxa"/>
          </w:tcPr>
          <w:p w14:paraId="1058CD3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份额净值</w:t>
            </w:r>
          </w:p>
        </w:tc>
        <w:tc>
          <w:tcPr>
            <w:tcW w:w="2841" w:type="dxa"/>
          </w:tcPr>
          <w:p w14:paraId="0D0C995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份额累计净值</w:t>
            </w:r>
          </w:p>
        </w:tc>
      </w:tr>
      <w:tr w14:paraId="5366E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BE0A58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2024/12/31</w:t>
            </w:r>
          </w:p>
        </w:tc>
        <w:tc>
          <w:tcPr>
            <w:tcW w:w="2841" w:type="dxa"/>
          </w:tcPr>
          <w:p w14:paraId="12BA087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1.0255</w:t>
            </w:r>
          </w:p>
        </w:tc>
        <w:tc>
          <w:tcPr>
            <w:tcW w:w="2841" w:type="dxa"/>
          </w:tcPr>
          <w:p w14:paraId="66D143D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1.0255</w:t>
            </w:r>
          </w:p>
        </w:tc>
      </w:tr>
    </w:tbl>
    <w:p w14:paraId="1027ADED">
      <w:pPr>
        <w:numPr>
          <w:ilvl w:val="0"/>
          <w:numId w:val="2"/>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净值变动情况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3A571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757F36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时间阶段</w:t>
            </w:r>
          </w:p>
        </w:tc>
        <w:tc>
          <w:tcPr>
            <w:tcW w:w="4261" w:type="dxa"/>
          </w:tcPr>
          <w:p w14:paraId="406D67A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净值增长率（%）</w:t>
            </w:r>
          </w:p>
        </w:tc>
      </w:tr>
      <w:tr w14:paraId="60E8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03122962">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当期</w:t>
            </w:r>
          </w:p>
        </w:tc>
        <w:tc>
          <w:tcPr>
            <w:tcW w:w="4261" w:type="dxa"/>
          </w:tcPr>
          <w:p w14:paraId="59D2DD7E">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rPr>
              <w:t>2.55</w:t>
            </w:r>
            <w:bookmarkStart w:id="0" w:name="_GoBack"/>
            <w:bookmarkEnd w:id="0"/>
          </w:p>
        </w:tc>
      </w:tr>
      <w:tr w14:paraId="522E5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87655EB">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自产品成立日至今</w:t>
            </w:r>
          </w:p>
        </w:tc>
        <w:tc>
          <w:tcPr>
            <w:tcW w:w="4261" w:type="dxa"/>
          </w:tcPr>
          <w:p w14:paraId="4A8607C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2.55</w:t>
            </w:r>
          </w:p>
        </w:tc>
      </w:tr>
    </w:tbl>
    <w:p w14:paraId="3C2A6ACB">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    说明：理财产品过往业绩不代表其未来表现，不等于理财产品实际收益，投资须谨慎。本产品单位净值暂未扣除投资管理费，该费用在产品到期日进行统一计提。</w:t>
      </w:r>
    </w:p>
    <w:p w14:paraId="1DE3CBD2">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投资组合情况</w:t>
      </w:r>
    </w:p>
    <w:p w14:paraId="47BADB5A">
      <w:pPr>
        <w:numPr>
          <w:ilvl w:val="0"/>
          <w:numId w:val="3"/>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投资组合详细情况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1320"/>
        <w:gridCol w:w="1395"/>
        <w:gridCol w:w="1425"/>
        <w:gridCol w:w="1433"/>
      </w:tblGrid>
      <w:tr w14:paraId="58086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restart"/>
            <w:vAlign w:val="center"/>
          </w:tcPr>
          <w:p w14:paraId="1937F92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资产类型</w:t>
            </w:r>
          </w:p>
        </w:tc>
        <w:tc>
          <w:tcPr>
            <w:tcW w:w="2715" w:type="dxa"/>
            <w:gridSpan w:val="2"/>
          </w:tcPr>
          <w:p w14:paraId="6C5B6E5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直接投资</w:t>
            </w:r>
          </w:p>
        </w:tc>
        <w:tc>
          <w:tcPr>
            <w:tcW w:w="2858" w:type="dxa"/>
            <w:gridSpan w:val="2"/>
          </w:tcPr>
          <w:p w14:paraId="540FC90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间接投资</w:t>
            </w:r>
          </w:p>
        </w:tc>
      </w:tr>
      <w:tr w14:paraId="2A80F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continue"/>
          </w:tcPr>
          <w:p w14:paraId="6E1C99D2">
            <w:pPr>
              <w:spacing w:line="480" w:lineRule="auto"/>
              <w:rPr>
                <w:rFonts w:hint="eastAsia" w:ascii="宋体" w:hAnsi="宋体" w:eastAsia="宋体" w:cs="宋体"/>
                <w:b/>
                <w:bCs/>
                <w:kern w:val="0"/>
                <w:sz w:val="24"/>
                <w:szCs w:val="24"/>
              </w:rPr>
            </w:pPr>
          </w:p>
        </w:tc>
        <w:tc>
          <w:tcPr>
            <w:tcW w:w="1320" w:type="dxa"/>
            <w:vAlign w:val="center"/>
          </w:tcPr>
          <w:p w14:paraId="0A40BE2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1395" w:type="dxa"/>
            <w:vAlign w:val="center"/>
          </w:tcPr>
          <w:p w14:paraId="042CE07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投资比例(%)</w:t>
            </w:r>
          </w:p>
        </w:tc>
        <w:tc>
          <w:tcPr>
            <w:tcW w:w="1425" w:type="dxa"/>
            <w:vAlign w:val="center"/>
          </w:tcPr>
          <w:p w14:paraId="6D49882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1433" w:type="dxa"/>
            <w:vAlign w:val="center"/>
          </w:tcPr>
          <w:p w14:paraId="7E1178F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投资比例(%)</w:t>
            </w:r>
          </w:p>
        </w:tc>
      </w:tr>
      <w:tr w14:paraId="6D0B1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31B0B68">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固定收益类资产：</w:t>
            </w:r>
          </w:p>
        </w:tc>
        <w:tc>
          <w:tcPr>
            <w:tcW w:w="1320" w:type="dxa"/>
            <w:vAlign w:val="center"/>
          </w:tcPr>
          <w:p w14:paraId="7EB9115F">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1640.80</w:t>
            </w:r>
          </w:p>
        </w:tc>
        <w:tc>
          <w:tcPr>
            <w:tcW w:w="1395" w:type="dxa"/>
          </w:tcPr>
          <w:p w14:paraId="608D014C">
            <w:pPr>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kern w:val="0"/>
                <w:sz w:val="24"/>
                <w:szCs w:val="24"/>
              </w:rPr>
              <w:t>100</w:t>
            </w:r>
          </w:p>
        </w:tc>
        <w:tc>
          <w:tcPr>
            <w:tcW w:w="1425" w:type="dxa"/>
            <w:shd w:val="clear" w:color="auto" w:fill="auto"/>
            <w:vAlign w:val="center"/>
          </w:tcPr>
          <w:p w14:paraId="2EA829C0">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2098.37</w:t>
            </w:r>
          </w:p>
        </w:tc>
        <w:tc>
          <w:tcPr>
            <w:tcW w:w="1433" w:type="dxa"/>
            <w:vAlign w:val="center"/>
          </w:tcPr>
          <w:p w14:paraId="1EC4C08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r>
      <w:tr w14:paraId="67A7F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3CC8E70">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债券</w:t>
            </w:r>
          </w:p>
        </w:tc>
        <w:tc>
          <w:tcPr>
            <w:tcW w:w="1320" w:type="dxa"/>
          </w:tcPr>
          <w:p w14:paraId="4FBDE3F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2DB7954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shd w:val="clear" w:color="auto" w:fill="auto"/>
            <w:vAlign w:val="center"/>
          </w:tcPr>
          <w:p w14:paraId="1EF8A13A">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2077.48</w:t>
            </w:r>
          </w:p>
        </w:tc>
        <w:tc>
          <w:tcPr>
            <w:tcW w:w="1433" w:type="dxa"/>
            <w:vAlign w:val="center"/>
          </w:tcPr>
          <w:p w14:paraId="00F5583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99</w:t>
            </w:r>
          </w:p>
        </w:tc>
      </w:tr>
      <w:tr w14:paraId="3B85F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58BFFA5">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存款</w:t>
            </w:r>
          </w:p>
        </w:tc>
        <w:tc>
          <w:tcPr>
            <w:tcW w:w="1320" w:type="dxa"/>
          </w:tcPr>
          <w:p w14:paraId="3E31B79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6C90A75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shd w:val="clear" w:color="auto" w:fill="auto"/>
            <w:vAlign w:val="center"/>
          </w:tcPr>
          <w:p w14:paraId="49683E97">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20.89</w:t>
            </w:r>
          </w:p>
        </w:tc>
        <w:tc>
          <w:tcPr>
            <w:tcW w:w="1433" w:type="dxa"/>
            <w:vAlign w:val="center"/>
          </w:tcPr>
          <w:p w14:paraId="5BC42CD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w:t>
            </w:r>
          </w:p>
        </w:tc>
      </w:tr>
      <w:tr w14:paraId="14C2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51BB00E4">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买入返售金融资产</w:t>
            </w:r>
          </w:p>
        </w:tc>
        <w:tc>
          <w:tcPr>
            <w:tcW w:w="1320" w:type="dxa"/>
          </w:tcPr>
          <w:p w14:paraId="0AD603D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08FE48C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vAlign w:val="top"/>
          </w:tcPr>
          <w:p w14:paraId="097F79F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vAlign w:val="center"/>
          </w:tcPr>
          <w:p w14:paraId="2132D78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0</w:t>
            </w:r>
          </w:p>
        </w:tc>
      </w:tr>
      <w:tr w14:paraId="1BE7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3B7D339">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资产管理产品</w:t>
            </w:r>
          </w:p>
        </w:tc>
        <w:tc>
          <w:tcPr>
            <w:tcW w:w="1320" w:type="dxa"/>
            <w:vAlign w:val="center"/>
          </w:tcPr>
          <w:p w14:paraId="25CB8439">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1640.80  </w:t>
            </w:r>
          </w:p>
        </w:tc>
        <w:tc>
          <w:tcPr>
            <w:tcW w:w="1395" w:type="dxa"/>
          </w:tcPr>
          <w:p w14:paraId="647C658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c>
          <w:tcPr>
            <w:tcW w:w="1425" w:type="dxa"/>
            <w:vAlign w:val="top"/>
          </w:tcPr>
          <w:p w14:paraId="1036C61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vAlign w:val="center"/>
          </w:tcPr>
          <w:p w14:paraId="355473B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0</w:t>
            </w:r>
          </w:p>
        </w:tc>
      </w:tr>
      <w:tr w14:paraId="382A5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77ECCFA">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其他债权类资产</w:t>
            </w:r>
          </w:p>
        </w:tc>
        <w:tc>
          <w:tcPr>
            <w:tcW w:w="1320" w:type="dxa"/>
          </w:tcPr>
          <w:p w14:paraId="26F3233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4CE8280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vAlign w:val="top"/>
          </w:tcPr>
          <w:p w14:paraId="1B14F1D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11D7D11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7E768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F2F940F">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权益类资产：</w:t>
            </w:r>
          </w:p>
        </w:tc>
        <w:tc>
          <w:tcPr>
            <w:tcW w:w="1320" w:type="dxa"/>
          </w:tcPr>
          <w:p w14:paraId="7882D32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108F550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6FA7E30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1616103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106A5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C2FA152">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股票</w:t>
            </w:r>
          </w:p>
        </w:tc>
        <w:tc>
          <w:tcPr>
            <w:tcW w:w="1320" w:type="dxa"/>
          </w:tcPr>
          <w:p w14:paraId="32121BF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235A6D7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5CD7BEC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2175AF1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0E1A5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5488F85F">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其他股权资产</w:t>
            </w:r>
          </w:p>
        </w:tc>
        <w:tc>
          <w:tcPr>
            <w:tcW w:w="1320" w:type="dxa"/>
          </w:tcPr>
          <w:p w14:paraId="7434D27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5C1F11B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734A5E4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27A884C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23CEF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25DBD4B">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商品及金融衍生品资产：</w:t>
            </w:r>
          </w:p>
        </w:tc>
        <w:tc>
          <w:tcPr>
            <w:tcW w:w="1320" w:type="dxa"/>
          </w:tcPr>
          <w:p w14:paraId="6C14B51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6C58548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4A3C0BD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6F633B3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78BA9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D2FC928">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商品</w:t>
            </w:r>
          </w:p>
        </w:tc>
        <w:tc>
          <w:tcPr>
            <w:tcW w:w="1320" w:type="dxa"/>
          </w:tcPr>
          <w:p w14:paraId="51B8949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28582A6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5E0C1A4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7FF8961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200E8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78E72BA3">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金融衍生品</w:t>
            </w:r>
          </w:p>
        </w:tc>
        <w:tc>
          <w:tcPr>
            <w:tcW w:w="1320" w:type="dxa"/>
          </w:tcPr>
          <w:p w14:paraId="78AAD0F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4F4498C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52E4E7C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17550CD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5BE91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4D52E88">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合计：</w:t>
            </w:r>
          </w:p>
        </w:tc>
        <w:tc>
          <w:tcPr>
            <w:tcW w:w="1320" w:type="dxa"/>
            <w:vAlign w:val="center"/>
          </w:tcPr>
          <w:p w14:paraId="49DC92DC">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1640.80 </w:t>
            </w:r>
          </w:p>
        </w:tc>
        <w:tc>
          <w:tcPr>
            <w:tcW w:w="1395" w:type="dxa"/>
          </w:tcPr>
          <w:p w14:paraId="415AF76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c>
          <w:tcPr>
            <w:tcW w:w="1425" w:type="dxa"/>
            <w:vAlign w:val="center"/>
          </w:tcPr>
          <w:p w14:paraId="33BD92F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2098.37</w:t>
            </w:r>
          </w:p>
        </w:tc>
        <w:tc>
          <w:tcPr>
            <w:tcW w:w="1433" w:type="dxa"/>
            <w:vAlign w:val="center"/>
          </w:tcPr>
          <w:p w14:paraId="791044E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r>
    </w:tbl>
    <w:p w14:paraId="51E586C4">
      <w:pPr>
        <w:numPr>
          <w:ilvl w:val="0"/>
          <w:numId w:val="3"/>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产品流动性风险分析</w:t>
      </w:r>
    </w:p>
    <w:p w14:paraId="02627C85">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    流动性风险是指产品在履行与金融负债有关的义务时遇到资金短缺的风险。本产品的流动性风险一方面来自于产品份额持有人可在开放期要求赎回其持有的产品份额，另一方面来自于若投资品种所处的交易市场不活跃，可能带来资产变现困难或产品持仓资产在市场出现剧烈波动的情况下难以以合理价格变现的风险。</w:t>
      </w:r>
    </w:p>
    <w:p w14:paraId="2583B083">
      <w:pPr>
        <w:spacing w:line="48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为防范无法支付到期赎回款而产生的流动性风险，本产品管理人将合理安排所投资产期限，产品到期前完成所投资组合中相关资产变现，尽可能降低产品流动性风险，有效保障产品持有人利益。</w:t>
      </w:r>
    </w:p>
    <w:p w14:paraId="7AF9B270">
      <w:pPr>
        <w:widowControl/>
        <w:spacing w:line="48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四、报告期末前十项资产明细 </w:t>
      </w:r>
    </w:p>
    <w:p w14:paraId="7FA1F51F">
      <w:pPr>
        <w:widowControl/>
        <w:spacing w:line="48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（一）直接投资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2597"/>
        <w:gridCol w:w="2841"/>
      </w:tblGrid>
      <w:tr w14:paraId="2CEBC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46464C32">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资产名称</w:t>
            </w:r>
          </w:p>
        </w:tc>
        <w:tc>
          <w:tcPr>
            <w:tcW w:w="2597" w:type="dxa"/>
            <w:vAlign w:val="center"/>
          </w:tcPr>
          <w:p w14:paraId="7AE50550">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资产规模(万元)</w:t>
            </w:r>
          </w:p>
        </w:tc>
        <w:tc>
          <w:tcPr>
            <w:tcW w:w="2841" w:type="dxa"/>
            <w:vAlign w:val="center"/>
          </w:tcPr>
          <w:p w14:paraId="385163B2">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占产品资产净值比例</w:t>
            </w:r>
          </w:p>
        </w:tc>
      </w:tr>
      <w:tr w14:paraId="776A6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29CA2712">
            <w:pPr>
              <w:widowControl/>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兴证资管恒利10号集合资产管理计划</w:t>
            </w:r>
          </w:p>
        </w:tc>
        <w:tc>
          <w:tcPr>
            <w:tcW w:w="2597" w:type="dxa"/>
            <w:vAlign w:val="center"/>
          </w:tcPr>
          <w:p w14:paraId="358A7942">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1640.80  </w:t>
            </w:r>
          </w:p>
        </w:tc>
        <w:tc>
          <w:tcPr>
            <w:tcW w:w="2841" w:type="dxa"/>
            <w:vAlign w:val="center"/>
          </w:tcPr>
          <w:p w14:paraId="6C28833A">
            <w:pPr>
              <w:widowControl/>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100%</w:t>
            </w:r>
          </w:p>
        </w:tc>
      </w:tr>
    </w:tbl>
    <w:p w14:paraId="0AFEA6C7">
      <w:pPr>
        <w:widowControl/>
        <w:spacing w:line="480" w:lineRule="auto"/>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    （二）间接投资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1"/>
        <w:gridCol w:w="2110"/>
        <w:gridCol w:w="2841"/>
      </w:tblGrid>
      <w:tr w14:paraId="44747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571" w:type="dxa"/>
          </w:tcPr>
          <w:p w14:paraId="7FA7DC1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资产名称</w:t>
            </w:r>
          </w:p>
        </w:tc>
        <w:tc>
          <w:tcPr>
            <w:tcW w:w="2110" w:type="dxa"/>
          </w:tcPr>
          <w:p w14:paraId="7950DCF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2841" w:type="dxa"/>
          </w:tcPr>
          <w:p w14:paraId="5637CFE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占产品资产净值比例（%）</w:t>
            </w:r>
          </w:p>
        </w:tc>
      </w:tr>
      <w:tr w14:paraId="35DF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1" w:type="dxa"/>
            <w:vAlign w:val="center"/>
          </w:tcPr>
          <w:p w14:paraId="4587268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19峨眉山旅游NPB01</w:t>
            </w:r>
          </w:p>
        </w:tc>
        <w:tc>
          <w:tcPr>
            <w:tcW w:w="2110" w:type="dxa"/>
            <w:vAlign w:val="center"/>
          </w:tcPr>
          <w:p w14:paraId="74EAC5B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93.58 </w:t>
            </w:r>
          </w:p>
        </w:tc>
        <w:tc>
          <w:tcPr>
            <w:tcW w:w="2841" w:type="dxa"/>
            <w:vAlign w:val="center"/>
          </w:tcPr>
          <w:p w14:paraId="7D79163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5.70 </w:t>
            </w:r>
          </w:p>
        </w:tc>
      </w:tr>
      <w:tr w14:paraId="5034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1D39CA6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24大足发展PPN002</w:t>
            </w:r>
          </w:p>
        </w:tc>
        <w:tc>
          <w:tcPr>
            <w:tcW w:w="2110" w:type="dxa"/>
            <w:vAlign w:val="center"/>
          </w:tcPr>
          <w:p w14:paraId="5EB44F9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73.54 </w:t>
            </w:r>
          </w:p>
        </w:tc>
        <w:tc>
          <w:tcPr>
            <w:tcW w:w="2841" w:type="dxa"/>
            <w:vAlign w:val="center"/>
          </w:tcPr>
          <w:p w14:paraId="64426A1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4.48 </w:t>
            </w:r>
          </w:p>
        </w:tc>
      </w:tr>
      <w:tr w14:paraId="2BE6F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6F025C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24华靖资产MTN005</w:t>
            </w:r>
          </w:p>
        </w:tc>
        <w:tc>
          <w:tcPr>
            <w:tcW w:w="2110" w:type="dxa"/>
            <w:vAlign w:val="center"/>
          </w:tcPr>
          <w:p w14:paraId="654B91D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71.68 </w:t>
            </w:r>
          </w:p>
        </w:tc>
        <w:tc>
          <w:tcPr>
            <w:tcW w:w="2841" w:type="dxa"/>
            <w:vAlign w:val="center"/>
          </w:tcPr>
          <w:p w14:paraId="69C4AAE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4.37 </w:t>
            </w:r>
          </w:p>
        </w:tc>
      </w:tr>
      <w:tr w14:paraId="5675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4426569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23长开09</w:t>
            </w:r>
          </w:p>
        </w:tc>
        <w:tc>
          <w:tcPr>
            <w:tcW w:w="2110" w:type="dxa"/>
            <w:vAlign w:val="center"/>
          </w:tcPr>
          <w:p w14:paraId="01A8FBC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67.53 </w:t>
            </w:r>
          </w:p>
        </w:tc>
        <w:tc>
          <w:tcPr>
            <w:tcW w:w="2841" w:type="dxa"/>
            <w:vAlign w:val="center"/>
          </w:tcPr>
          <w:p w14:paraId="0C49BBA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4.12 </w:t>
            </w:r>
          </w:p>
        </w:tc>
      </w:tr>
      <w:tr w14:paraId="79507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2A0C221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23瀚瑞投资PPN004</w:t>
            </w:r>
          </w:p>
        </w:tc>
        <w:tc>
          <w:tcPr>
            <w:tcW w:w="2110" w:type="dxa"/>
            <w:vAlign w:val="center"/>
          </w:tcPr>
          <w:p w14:paraId="1706A91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55.25 </w:t>
            </w:r>
          </w:p>
        </w:tc>
        <w:tc>
          <w:tcPr>
            <w:tcW w:w="2841" w:type="dxa"/>
            <w:vAlign w:val="center"/>
          </w:tcPr>
          <w:p w14:paraId="4281FF4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3.37 </w:t>
            </w:r>
          </w:p>
        </w:tc>
      </w:tr>
      <w:tr w14:paraId="0342F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0FF37A7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22金阳集团债01</w:t>
            </w:r>
          </w:p>
        </w:tc>
        <w:tc>
          <w:tcPr>
            <w:tcW w:w="2110" w:type="dxa"/>
            <w:vAlign w:val="center"/>
          </w:tcPr>
          <w:p w14:paraId="74B6B58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48.21 </w:t>
            </w:r>
          </w:p>
        </w:tc>
        <w:tc>
          <w:tcPr>
            <w:tcW w:w="2841" w:type="dxa"/>
            <w:vAlign w:val="center"/>
          </w:tcPr>
          <w:p w14:paraId="01C9C84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2.94 </w:t>
            </w:r>
          </w:p>
        </w:tc>
      </w:tr>
      <w:tr w14:paraId="4998A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679A4F9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24长寿投资MTN002</w:t>
            </w:r>
          </w:p>
        </w:tc>
        <w:tc>
          <w:tcPr>
            <w:tcW w:w="2110" w:type="dxa"/>
            <w:vAlign w:val="center"/>
          </w:tcPr>
          <w:p w14:paraId="0B51B1F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46.72 </w:t>
            </w:r>
          </w:p>
        </w:tc>
        <w:tc>
          <w:tcPr>
            <w:tcW w:w="2841" w:type="dxa"/>
            <w:vAlign w:val="center"/>
          </w:tcPr>
          <w:p w14:paraId="6256A6F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2.85 </w:t>
            </w:r>
          </w:p>
        </w:tc>
      </w:tr>
      <w:tr w14:paraId="3661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082D4A4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24联投资本PPN001</w:t>
            </w:r>
          </w:p>
        </w:tc>
        <w:tc>
          <w:tcPr>
            <w:tcW w:w="2110" w:type="dxa"/>
            <w:vAlign w:val="center"/>
          </w:tcPr>
          <w:p w14:paraId="7BD32D1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46.21 </w:t>
            </w:r>
          </w:p>
        </w:tc>
        <w:tc>
          <w:tcPr>
            <w:tcW w:w="2841" w:type="dxa"/>
            <w:vAlign w:val="center"/>
          </w:tcPr>
          <w:p w14:paraId="36B4076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2.82 </w:t>
            </w:r>
          </w:p>
        </w:tc>
      </w:tr>
      <w:tr w14:paraId="5487A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08B8E5A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24安控08</w:t>
            </w:r>
          </w:p>
        </w:tc>
        <w:tc>
          <w:tcPr>
            <w:tcW w:w="2110" w:type="dxa"/>
            <w:vAlign w:val="center"/>
          </w:tcPr>
          <w:p w14:paraId="151793E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46.11 </w:t>
            </w:r>
          </w:p>
        </w:tc>
        <w:tc>
          <w:tcPr>
            <w:tcW w:w="2841" w:type="dxa"/>
            <w:vAlign w:val="center"/>
          </w:tcPr>
          <w:p w14:paraId="29435FB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2.81 </w:t>
            </w:r>
          </w:p>
        </w:tc>
      </w:tr>
      <w:tr w14:paraId="368F8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4C54064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24大足发展PPN003</w:t>
            </w:r>
          </w:p>
        </w:tc>
        <w:tc>
          <w:tcPr>
            <w:tcW w:w="2110" w:type="dxa"/>
            <w:vAlign w:val="center"/>
          </w:tcPr>
          <w:p w14:paraId="743922D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45.93 </w:t>
            </w:r>
          </w:p>
        </w:tc>
        <w:tc>
          <w:tcPr>
            <w:tcW w:w="2841" w:type="dxa"/>
            <w:vAlign w:val="center"/>
          </w:tcPr>
          <w:p w14:paraId="58E7AC6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2.80 </w:t>
            </w:r>
          </w:p>
        </w:tc>
      </w:tr>
    </w:tbl>
    <w:p w14:paraId="607CB7AC">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备注：</w:t>
      </w:r>
    </w:p>
    <w:p w14:paraId="68CC8114">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上述各类资产的投资占比，根据报告期末的实际运作情况计算得出，该资产配置会随后续实际投资情况动态变化。 </w:t>
      </w:r>
    </w:p>
    <w:p w14:paraId="18CB7628">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特此公告！</w:t>
      </w:r>
    </w:p>
    <w:p w14:paraId="7F1255DC">
      <w:pPr>
        <w:spacing w:line="480" w:lineRule="auto"/>
        <w:rPr>
          <w:rFonts w:hint="eastAsia" w:ascii="宋体" w:hAnsi="宋体" w:eastAsia="宋体" w:cs="宋体"/>
          <w:b/>
          <w:bCs/>
          <w:sz w:val="24"/>
          <w:szCs w:val="24"/>
        </w:rPr>
      </w:pPr>
    </w:p>
    <w:p w14:paraId="031479FA">
      <w:pPr>
        <w:spacing w:line="480" w:lineRule="auto"/>
        <w:rPr>
          <w:rFonts w:hint="eastAsia" w:ascii="宋体" w:hAnsi="宋体" w:eastAsia="宋体" w:cs="宋体"/>
          <w:b/>
          <w:bCs/>
          <w:sz w:val="24"/>
          <w:szCs w:val="24"/>
        </w:rPr>
      </w:pPr>
    </w:p>
    <w:p w14:paraId="20ADB80E">
      <w:pPr>
        <w:spacing w:line="480" w:lineRule="auto"/>
        <w:rPr>
          <w:rFonts w:hint="eastAsia" w:ascii="宋体" w:hAnsi="宋体" w:eastAsia="宋体" w:cs="宋体"/>
          <w:b/>
          <w:bCs/>
          <w:sz w:val="24"/>
          <w:szCs w:val="24"/>
        </w:rPr>
      </w:pPr>
    </w:p>
    <w:p w14:paraId="2B7D8192">
      <w:pPr>
        <w:spacing w:line="480" w:lineRule="auto"/>
        <w:jc w:val="right"/>
        <w:rPr>
          <w:rFonts w:hint="eastAsia" w:ascii="宋体" w:hAnsi="宋体" w:eastAsia="宋体" w:cs="宋体"/>
          <w:b/>
          <w:bCs/>
          <w:sz w:val="24"/>
          <w:szCs w:val="24"/>
        </w:rPr>
      </w:pPr>
      <w:r>
        <w:rPr>
          <w:rFonts w:hint="eastAsia" w:ascii="宋体" w:hAnsi="宋体" w:eastAsia="宋体" w:cs="宋体"/>
          <w:b/>
          <w:bCs/>
          <w:sz w:val="24"/>
          <w:szCs w:val="24"/>
        </w:rPr>
        <w:t xml:space="preserve">                                    浙江上虞农村商业银行股份有限公司</w:t>
      </w:r>
    </w:p>
    <w:p w14:paraId="3895B27F">
      <w:pPr>
        <w:spacing w:line="480" w:lineRule="auto"/>
        <w:jc w:val="right"/>
        <w:rPr>
          <w:rFonts w:hint="eastAsia" w:ascii="宋体" w:hAnsi="宋体" w:eastAsia="宋体" w:cs="宋体"/>
          <w:b/>
          <w:bCs/>
          <w:sz w:val="24"/>
          <w:szCs w:val="24"/>
        </w:rPr>
      </w:pPr>
      <w:r>
        <w:rPr>
          <w:rFonts w:hint="eastAsia" w:ascii="宋体" w:hAnsi="宋体" w:eastAsia="宋体" w:cs="宋体"/>
          <w:b/>
          <w:bCs/>
          <w:sz w:val="24"/>
          <w:szCs w:val="24"/>
        </w:rPr>
        <w:t>202</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-1-15</w:t>
      </w:r>
    </w:p>
    <w:p w14:paraId="3E849BA1">
      <w:pPr>
        <w:spacing w:line="480" w:lineRule="auto"/>
        <w:rPr>
          <w:rFonts w:hint="eastAsia" w:ascii="宋体" w:hAnsi="宋体" w:eastAsia="宋体" w:cs="宋体"/>
          <w:b/>
          <w:bCs/>
          <w:sz w:val="24"/>
          <w:szCs w:val="24"/>
        </w:rPr>
      </w:pPr>
    </w:p>
    <w:p w14:paraId="09D61171">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EC109"/>
    <w:multiLevelType w:val="singleLevel"/>
    <w:tmpl w:val="BFCEC109"/>
    <w:lvl w:ilvl="0" w:tentative="0">
      <w:start w:val="1"/>
      <w:numFmt w:val="chineseCounting"/>
      <w:suff w:val="nothing"/>
      <w:lvlText w:val="（%1）"/>
      <w:lvlJc w:val="left"/>
      <w:rPr>
        <w:rFonts w:hint="eastAsia"/>
      </w:rPr>
    </w:lvl>
  </w:abstractNum>
  <w:abstractNum w:abstractNumId="1">
    <w:nsid w:val="F53904FD"/>
    <w:multiLevelType w:val="singleLevel"/>
    <w:tmpl w:val="F53904FD"/>
    <w:lvl w:ilvl="0" w:tentative="0">
      <w:start w:val="1"/>
      <w:numFmt w:val="chineseCounting"/>
      <w:suff w:val="nothing"/>
      <w:lvlText w:val="%1、"/>
      <w:lvlJc w:val="left"/>
      <w:rPr>
        <w:rFonts w:hint="eastAsia"/>
      </w:rPr>
    </w:lvl>
  </w:abstractNum>
  <w:abstractNum w:abstractNumId="2">
    <w:nsid w:val="4081E792"/>
    <w:multiLevelType w:val="singleLevel"/>
    <w:tmpl w:val="4081E79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6EE"/>
    <w:rsid w:val="006176EE"/>
    <w:rsid w:val="00661936"/>
    <w:rsid w:val="038F4138"/>
    <w:rsid w:val="17CE6057"/>
    <w:rsid w:val="45581862"/>
    <w:rsid w:val="49921B40"/>
    <w:rsid w:val="5B545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1 字符"/>
    <w:basedOn w:val="5"/>
    <w:link w:val="2"/>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1001</Words>
  <Characters>1310</Characters>
  <Lines>10</Lines>
  <Paragraphs>2</Paragraphs>
  <TotalTime>0</TotalTime>
  <ScaleCrop>false</ScaleCrop>
  <LinksUpToDate>false</LinksUpToDate>
  <CharactersWithSpaces>1387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2025-01-07T01:50:00Z</dcterms:created>
  <dc:creator>ADMIN</dc:creator>
  <cp:lastModifiedBy>裘</cp:lastModifiedBy>
  <dcterms:modified xsi:type="dcterms:W3CDTF">2025-01-09T07:50:46Z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eyJoZGlkIjoiNGZhZTNiY2JkOGM3NDQ4Zjk0YTIxN2U4ODc2Yzg3N2YiLCJ1c2VySWQiOiIyNzY2MjIwMDkifQ==</vt:lpwstr>
  </property>
  <property fmtid="{D5CDD505-2E9C-101B-9397-08002B2CF9AE}" pid="3" name="KSOProductBuildVer">
    <vt:lpwstr>2052-12.1.0.19770</vt:lpwstr>
  </property>
  <property fmtid="{D5CDD505-2E9C-101B-9397-08002B2CF9AE}" pid="4" name="ICV">
    <vt:lpwstr>8E0480DE2B614B5794B652C7A4204D03_13</vt:lpwstr>
  </property>
</Properties>
</file>