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24BCD">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上虞农商银行“丰收信福”2024年第29期封闭式净值型人民币理财产品（新客）2024年</w:t>
      </w:r>
      <w:r>
        <w:rPr>
          <w:rFonts w:hint="eastAsia" w:ascii="宋体" w:hAnsi="宋体" w:eastAsia="宋体" w:cs="宋体"/>
          <w:b/>
          <w:bCs/>
          <w:sz w:val="32"/>
          <w:szCs w:val="32"/>
          <w:lang w:val="en-US" w:eastAsia="zh-CN"/>
        </w:rPr>
        <w:t>年度</w:t>
      </w:r>
      <w:r>
        <w:rPr>
          <w:rFonts w:hint="eastAsia" w:ascii="宋体" w:hAnsi="宋体" w:eastAsia="宋体" w:cs="宋体"/>
          <w:b/>
          <w:bCs/>
          <w:sz w:val="32"/>
          <w:szCs w:val="32"/>
        </w:rPr>
        <w:t>报告</w:t>
      </w:r>
    </w:p>
    <w:p w14:paraId="653B3E1F">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0077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BB8554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2337AAD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4568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6D18168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12B624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上虞农商银行“丰收信福”2024年第29期封闭式净值型人民币理财产品（新客）</w:t>
            </w:r>
          </w:p>
        </w:tc>
      </w:tr>
      <w:tr w14:paraId="5133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05963E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106A86E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FSXFFBJZ8922024029</w:t>
            </w:r>
          </w:p>
        </w:tc>
      </w:tr>
      <w:tr w14:paraId="2F31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698943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27CD2E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C1124924000025</w:t>
            </w:r>
          </w:p>
        </w:tc>
      </w:tr>
      <w:tr w14:paraId="6F45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AA8E5B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13C5DF1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2024/06/20</w:t>
            </w:r>
          </w:p>
        </w:tc>
      </w:tr>
      <w:tr w14:paraId="2613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1E267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57E872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2025/06/20</w:t>
            </w:r>
          </w:p>
        </w:tc>
      </w:tr>
      <w:tr w14:paraId="5B1F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CBA8A3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31496C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21C7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13ACB8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175A48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3D26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E81CAD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460BAD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招商银行股份有限公司</w:t>
            </w:r>
          </w:p>
        </w:tc>
      </w:tr>
      <w:tr w14:paraId="2D73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106573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20294A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3A3F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8E3F5D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7FF12FE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2056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0D1F68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262832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2.70-3.20%</w:t>
            </w:r>
          </w:p>
        </w:tc>
      </w:tr>
      <w:tr w14:paraId="07EB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841948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56D48F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0.015%</w:t>
            </w:r>
          </w:p>
        </w:tc>
      </w:tr>
      <w:tr w14:paraId="1590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45C23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7BA4A63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0.000%</w:t>
            </w:r>
          </w:p>
        </w:tc>
      </w:tr>
      <w:tr w14:paraId="0B67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E965FF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51B41BE2">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5071000</w:t>
            </w:r>
          </w:p>
        </w:tc>
      </w:tr>
      <w:tr w14:paraId="4F10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4E53D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7A01C2B6">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5000000</w:t>
            </w:r>
          </w:p>
        </w:tc>
      </w:tr>
    </w:tbl>
    <w:p w14:paraId="48021722">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61BAEFD3">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1D50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9DD36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7414039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4C339B3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12F0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11C14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2E758FB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1.0142</w:t>
            </w:r>
          </w:p>
        </w:tc>
        <w:tc>
          <w:tcPr>
            <w:tcW w:w="2841" w:type="dxa"/>
          </w:tcPr>
          <w:p w14:paraId="192626F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1.0142</w:t>
            </w:r>
          </w:p>
        </w:tc>
      </w:tr>
    </w:tbl>
    <w:p w14:paraId="6668A55F">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F96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6E711F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52428E7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792F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2F1AF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51092BCB">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1.42</w:t>
            </w:r>
            <w:bookmarkStart w:id="0" w:name="_GoBack"/>
            <w:bookmarkEnd w:id="0"/>
          </w:p>
        </w:tc>
      </w:tr>
      <w:tr w14:paraId="2FF5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7F5E6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4417620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1.42</w:t>
            </w:r>
          </w:p>
        </w:tc>
      </w:tr>
    </w:tbl>
    <w:p w14:paraId="02D6264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4415BFD0">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43D2E6DD">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11AD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5A8695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3E67B6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77A1158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6AFB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3BCE4826">
            <w:pPr>
              <w:spacing w:line="480" w:lineRule="auto"/>
              <w:rPr>
                <w:rFonts w:hint="eastAsia" w:ascii="宋体" w:hAnsi="宋体" w:eastAsia="宋体" w:cs="宋体"/>
                <w:b/>
                <w:bCs/>
                <w:kern w:val="0"/>
                <w:sz w:val="24"/>
                <w:szCs w:val="24"/>
              </w:rPr>
            </w:pPr>
          </w:p>
        </w:tc>
        <w:tc>
          <w:tcPr>
            <w:tcW w:w="1320" w:type="dxa"/>
            <w:vAlign w:val="center"/>
          </w:tcPr>
          <w:p w14:paraId="4438DC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5479CAF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7CDBE9B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66E500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1060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30B92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1074AC68">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507.10</w:t>
            </w:r>
          </w:p>
        </w:tc>
        <w:tc>
          <w:tcPr>
            <w:tcW w:w="1395" w:type="dxa"/>
          </w:tcPr>
          <w:p w14:paraId="73CD59F0">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2643657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538.98</w:t>
            </w:r>
          </w:p>
        </w:tc>
        <w:tc>
          <w:tcPr>
            <w:tcW w:w="1433" w:type="dxa"/>
            <w:vAlign w:val="center"/>
          </w:tcPr>
          <w:p w14:paraId="66CFEFD4">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100</w:t>
            </w:r>
          </w:p>
        </w:tc>
      </w:tr>
      <w:tr w14:paraId="6B23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64A8B5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7B608A1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7FAAE3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3E4AF5F8">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528.85</w:t>
            </w:r>
          </w:p>
        </w:tc>
        <w:tc>
          <w:tcPr>
            <w:tcW w:w="1433" w:type="dxa"/>
            <w:vAlign w:val="center"/>
          </w:tcPr>
          <w:p w14:paraId="0B48929A">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98.11 </w:t>
            </w:r>
          </w:p>
        </w:tc>
      </w:tr>
      <w:tr w14:paraId="00C9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F58C23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631ECF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8B22D6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6A794DC7">
            <w:pPr>
              <w:widowControl/>
              <w:jc w:val="center"/>
              <w:textAlignment w:val="center"/>
              <w:rPr>
                <w:rFonts w:hint="default" w:ascii="宋体" w:hAnsi="宋体" w:eastAsia="宋体" w:cs="宋体"/>
                <w:b/>
                <w:bCs/>
                <w:color w:val="000000"/>
                <w:kern w:val="0"/>
                <w:sz w:val="24"/>
                <w:szCs w:val="24"/>
                <w:lang w:val="en-US" w:bidi="ar"/>
              </w:rPr>
            </w:pPr>
            <w:r>
              <w:rPr>
                <w:rFonts w:hint="eastAsia" w:ascii="宋体" w:hAnsi="宋体" w:eastAsia="宋体" w:cs="宋体"/>
                <w:b/>
                <w:bCs/>
                <w:color w:val="000000"/>
                <w:kern w:val="0"/>
                <w:sz w:val="24"/>
                <w:szCs w:val="24"/>
                <w:lang w:val="en-US" w:eastAsia="zh-CN" w:bidi="ar"/>
              </w:rPr>
              <w:t>1.80</w:t>
            </w:r>
          </w:p>
        </w:tc>
        <w:tc>
          <w:tcPr>
            <w:tcW w:w="1433" w:type="dxa"/>
            <w:vAlign w:val="center"/>
          </w:tcPr>
          <w:p w14:paraId="4478372A">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0.34 </w:t>
            </w:r>
          </w:p>
        </w:tc>
      </w:tr>
      <w:tr w14:paraId="0D12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FBB5F1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328C44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76EB4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4FC02452">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8.33</w:t>
            </w:r>
          </w:p>
        </w:tc>
        <w:tc>
          <w:tcPr>
            <w:tcW w:w="1433" w:type="dxa"/>
            <w:vAlign w:val="center"/>
          </w:tcPr>
          <w:p w14:paraId="61EF24E4">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1.55 </w:t>
            </w:r>
          </w:p>
        </w:tc>
      </w:tr>
      <w:tr w14:paraId="356E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DCF6DC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16EB2DFD">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507.10  </w:t>
            </w:r>
          </w:p>
        </w:tc>
        <w:tc>
          <w:tcPr>
            <w:tcW w:w="1395" w:type="dxa"/>
          </w:tcPr>
          <w:p w14:paraId="348D95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0524A92E">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0</w:t>
            </w:r>
          </w:p>
        </w:tc>
        <w:tc>
          <w:tcPr>
            <w:tcW w:w="1433" w:type="dxa"/>
            <w:vAlign w:val="center"/>
          </w:tcPr>
          <w:p w14:paraId="65199196">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0</w:t>
            </w:r>
          </w:p>
        </w:tc>
      </w:tr>
      <w:tr w14:paraId="01D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1B6433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2AB43B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34F31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90C6E6C">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292BA8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066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4A7BA6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10B780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D2EA3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7F390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B03CB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177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423B26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45A2B6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BAD388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1967A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8F2FE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9AF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BF87B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4F7E109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8D1DFC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73EE9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D8901F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8EA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631DCE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6CDD0A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33A03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6E60A6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09AA9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D9C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4D7C59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00EA80C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9858B2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5E2012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6961D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79B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39C7BB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402276B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8A99CC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A9303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227EF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9E7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B0CD74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0BFFEC73">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507.10 </w:t>
            </w:r>
          </w:p>
        </w:tc>
        <w:tc>
          <w:tcPr>
            <w:tcW w:w="1395" w:type="dxa"/>
          </w:tcPr>
          <w:p w14:paraId="4C9383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38D480D4">
            <w:pPr>
              <w:spacing w:line="480" w:lineRule="auto"/>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val="en-US" w:eastAsia="zh-CN" w:bidi="ar"/>
              </w:rPr>
              <w:t>538.98</w:t>
            </w:r>
          </w:p>
        </w:tc>
        <w:tc>
          <w:tcPr>
            <w:tcW w:w="1433" w:type="dxa"/>
            <w:vAlign w:val="center"/>
          </w:tcPr>
          <w:p w14:paraId="4DE8067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7212736D">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2DD9D801">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264C6FF">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41BBE7B2">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681EAA61">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6A74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3ED1E67">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2B91E7A3">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6C359755">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5782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6831077">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华西证券丰收信诚6号集合资产管理计划</w:t>
            </w:r>
          </w:p>
        </w:tc>
        <w:tc>
          <w:tcPr>
            <w:tcW w:w="2597" w:type="dxa"/>
            <w:vAlign w:val="center"/>
          </w:tcPr>
          <w:p w14:paraId="26B984EF">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507.10  </w:t>
            </w:r>
          </w:p>
        </w:tc>
        <w:tc>
          <w:tcPr>
            <w:tcW w:w="2841" w:type="dxa"/>
            <w:vAlign w:val="center"/>
          </w:tcPr>
          <w:p w14:paraId="529600AF">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11BE04AE">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D5D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2AB4EE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65AC9F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0AE3AD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4B37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635BE0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24交通银行CD408</w:t>
            </w:r>
          </w:p>
        </w:tc>
        <w:tc>
          <w:tcPr>
            <w:tcW w:w="2110" w:type="dxa"/>
            <w:vAlign w:val="center"/>
          </w:tcPr>
          <w:p w14:paraId="16D7633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27.33</w:t>
            </w:r>
          </w:p>
        </w:tc>
        <w:tc>
          <w:tcPr>
            <w:tcW w:w="2841" w:type="dxa"/>
            <w:vAlign w:val="center"/>
          </w:tcPr>
          <w:p w14:paraId="786E72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5.39 </w:t>
            </w:r>
          </w:p>
        </w:tc>
      </w:tr>
      <w:tr w14:paraId="1615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BF018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24浦发银行CD298</w:t>
            </w:r>
          </w:p>
        </w:tc>
        <w:tc>
          <w:tcPr>
            <w:tcW w:w="2110" w:type="dxa"/>
            <w:vAlign w:val="center"/>
          </w:tcPr>
          <w:p w14:paraId="33C3A7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27.32</w:t>
            </w:r>
          </w:p>
        </w:tc>
        <w:tc>
          <w:tcPr>
            <w:tcW w:w="2841" w:type="dxa"/>
            <w:vAlign w:val="center"/>
          </w:tcPr>
          <w:p w14:paraId="3D854C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5.39 </w:t>
            </w:r>
          </w:p>
        </w:tc>
      </w:tr>
      <w:tr w14:paraId="23A1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677896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21新昌物流项目NPB01</w:t>
            </w:r>
          </w:p>
        </w:tc>
        <w:tc>
          <w:tcPr>
            <w:tcW w:w="2110" w:type="dxa"/>
            <w:vAlign w:val="center"/>
          </w:tcPr>
          <w:p w14:paraId="7C6F693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24.4</w:t>
            </w:r>
          </w:p>
        </w:tc>
        <w:tc>
          <w:tcPr>
            <w:tcW w:w="2841" w:type="dxa"/>
            <w:vAlign w:val="center"/>
          </w:tcPr>
          <w:p w14:paraId="5DAD4B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4.81 </w:t>
            </w:r>
          </w:p>
        </w:tc>
      </w:tr>
      <w:tr w14:paraId="70C4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E780E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22瑞海投资PPN001</w:t>
            </w:r>
          </w:p>
        </w:tc>
        <w:tc>
          <w:tcPr>
            <w:tcW w:w="2110" w:type="dxa"/>
            <w:vAlign w:val="center"/>
          </w:tcPr>
          <w:p w14:paraId="5A00EF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22.86</w:t>
            </w:r>
          </w:p>
        </w:tc>
        <w:tc>
          <w:tcPr>
            <w:tcW w:w="2841" w:type="dxa"/>
            <w:vAlign w:val="center"/>
          </w:tcPr>
          <w:p w14:paraId="7F845C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4.51 </w:t>
            </w:r>
          </w:p>
        </w:tc>
      </w:tr>
      <w:tr w14:paraId="5381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ECC0A7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22彭泽01</w:t>
            </w:r>
          </w:p>
        </w:tc>
        <w:tc>
          <w:tcPr>
            <w:tcW w:w="2110" w:type="dxa"/>
            <w:vAlign w:val="center"/>
          </w:tcPr>
          <w:p w14:paraId="75431D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22.81</w:t>
            </w:r>
          </w:p>
        </w:tc>
        <w:tc>
          <w:tcPr>
            <w:tcW w:w="2841" w:type="dxa"/>
            <w:vAlign w:val="center"/>
          </w:tcPr>
          <w:p w14:paraId="017166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4.50 </w:t>
            </w:r>
          </w:p>
        </w:tc>
      </w:tr>
      <w:tr w14:paraId="110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7C0DC9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24浙湖01</w:t>
            </w:r>
          </w:p>
        </w:tc>
        <w:tc>
          <w:tcPr>
            <w:tcW w:w="2110" w:type="dxa"/>
            <w:vAlign w:val="center"/>
          </w:tcPr>
          <w:p w14:paraId="03B3CF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17.48</w:t>
            </w:r>
          </w:p>
        </w:tc>
        <w:tc>
          <w:tcPr>
            <w:tcW w:w="2841" w:type="dxa"/>
            <w:vAlign w:val="center"/>
          </w:tcPr>
          <w:p w14:paraId="40492B0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3.45 </w:t>
            </w:r>
          </w:p>
        </w:tc>
      </w:tr>
      <w:tr w14:paraId="6FB6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02791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22温国01</w:t>
            </w:r>
          </w:p>
        </w:tc>
        <w:tc>
          <w:tcPr>
            <w:tcW w:w="2110" w:type="dxa"/>
            <w:vAlign w:val="center"/>
          </w:tcPr>
          <w:p w14:paraId="42706A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17.08</w:t>
            </w:r>
          </w:p>
        </w:tc>
        <w:tc>
          <w:tcPr>
            <w:tcW w:w="2841" w:type="dxa"/>
            <w:vAlign w:val="center"/>
          </w:tcPr>
          <w:p w14:paraId="0A51A4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2C97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FBD7D0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22金阳投资MTN002</w:t>
            </w:r>
          </w:p>
        </w:tc>
        <w:tc>
          <w:tcPr>
            <w:tcW w:w="2110" w:type="dxa"/>
            <w:vAlign w:val="center"/>
          </w:tcPr>
          <w:p w14:paraId="050CEAF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17.06</w:t>
            </w:r>
          </w:p>
        </w:tc>
        <w:tc>
          <w:tcPr>
            <w:tcW w:w="2841" w:type="dxa"/>
            <w:vAlign w:val="center"/>
          </w:tcPr>
          <w:p w14:paraId="5536DB0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3.36 </w:t>
            </w:r>
          </w:p>
        </w:tc>
      </w:tr>
      <w:tr w14:paraId="2426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386ABD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22长滨02</w:t>
            </w:r>
          </w:p>
        </w:tc>
        <w:tc>
          <w:tcPr>
            <w:tcW w:w="2110" w:type="dxa"/>
            <w:vAlign w:val="center"/>
          </w:tcPr>
          <w:p w14:paraId="7F0025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16.9</w:t>
            </w:r>
          </w:p>
        </w:tc>
        <w:tc>
          <w:tcPr>
            <w:tcW w:w="2841" w:type="dxa"/>
            <w:vAlign w:val="center"/>
          </w:tcPr>
          <w:p w14:paraId="47585A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3.33 </w:t>
            </w:r>
          </w:p>
        </w:tc>
      </w:tr>
      <w:tr w14:paraId="2C78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0B525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24上虞国投MTN005</w:t>
            </w:r>
          </w:p>
        </w:tc>
        <w:tc>
          <w:tcPr>
            <w:tcW w:w="2110" w:type="dxa"/>
            <w:vAlign w:val="center"/>
          </w:tcPr>
          <w:p w14:paraId="39EC13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16.63</w:t>
            </w:r>
          </w:p>
        </w:tc>
        <w:tc>
          <w:tcPr>
            <w:tcW w:w="2841" w:type="dxa"/>
            <w:vAlign w:val="center"/>
          </w:tcPr>
          <w:p w14:paraId="3CB3132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3.28 </w:t>
            </w:r>
          </w:p>
        </w:tc>
      </w:tr>
    </w:tbl>
    <w:p w14:paraId="77922E1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396A4C05">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58C5DE4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1032B5AB">
      <w:pPr>
        <w:spacing w:line="480" w:lineRule="auto"/>
        <w:rPr>
          <w:rFonts w:hint="eastAsia" w:ascii="宋体" w:hAnsi="宋体" w:eastAsia="宋体" w:cs="宋体"/>
          <w:b/>
          <w:bCs/>
          <w:sz w:val="24"/>
          <w:szCs w:val="24"/>
        </w:rPr>
      </w:pPr>
    </w:p>
    <w:p w14:paraId="1E5EE54F">
      <w:pPr>
        <w:spacing w:line="480" w:lineRule="auto"/>
        <w:rPr>
          <w:rFonts w:hint="eastAsia" w:ascii="宋体" w:hAnsi="宋体" w:eastAsia="宋体" w:cs="宋体"/>
          <w:b/>
          <w:bCs/>
          <w:sz w:val="24"/>
          <w:szCs w:val="24"/>
        </w:rPr>
      </w:pPr>
    </w:p>
    <w:p w14:paraId="7BA52F9F">
      <w:pPr>
        <w:spacing w:line="480" w:lineRule="auto"/>
        <w:rPr>
          <w:rFonts w:hint="eastAsia" w:ascii="宋体" w:hAnsi="宋体" w:eastAsia="宋体" w:cs="宋体"/>
          <w:b/>
          <w:bCs/>
          <w:sz w:val="24"/>
          <w:szCs w:val="24"/>
        </w:rPr>
      </w:pPr>
    </w:p>
    <w:p w14:paraId="27001FFA">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70C8E5FF">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26FCC906">
      <w:pPr>
        <w:spacing w:line="480" w:lineRule="auto"/>
        <w:rPr>
          <w:rFonts w:hint="eastAsia" w:ascii="宋体" w:hAnsi="宋体" w:eastAsia="宋体" w:cs="宋体"/>
          <w:b/>
          <w:bCs/>
          <w:sz w:val="24"/>
          <w:szCs w:val="24"/>
        </w:rPr>
      </w:pPr>
    </w:p>
    <w:p w14:paraId="5DA30C89">
      <w:pPr>
        <w:spacing w:line="480" w:lineRule="auto"/>
        <w:rPr>
          <w:rFonts w:hint="eastAsia" w:ascii="宋体" w:hAnsi="宋体" w:eastAsia="宋体" w:cs="宋体"/>
          <w:b/>
          <w:bCs/>
          <w:sz w:val="24"/>
          <w:szCs w:val="24"/>
        </w:rPr>
      </w:pPr>
    </w:p>
    <w:p w14:paraId="4EECA3E4">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4D"/>
    <w:rsid w:val="00371C4A"/>
    <w:rsid w:val="006C364D"/>
    <w:rsid w:val="4DAD1DC8"/>
    <w:rsid w:val="68482E7F"/>
    <w:rsid w:val="7F43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1007</Words>
  <Characters>1309</Characters>
  <Lines>10</Lines>
  <Paragraphs>2</Paragraphs>
  <TotalTime>4</TotalTime>
  <ScaleCrop>false</ScaleCrop>
  <LinksUpToDate>false</LinksUpToDate>
  <CharactersWithSpaces>1379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2025-01-09T08:34:37Z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DD574753EFA146C38459FF8D55FF468F_12</vt:lpwstr>
  </property>
</Properties>
</file>