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2960D">
      <w:pPr>
        <w:jc w:val="center"/>
        <w:rPr>
          <w:rFonts w:hint="eastAsia" w:ascii="宋体" w:hAnsi="宋体" w:eastAsia="宋体" w:cs="宋体"/>
          <w:b/>
          <w:bCs/>
          <w:sz w:val="32"/>
          <w:szCs w:val="32"/>
        </w:rPr>
      </w:pPr>
      <w:r>
        <w:rPr>
          <w:rFonts w:hint="eastAsia" w:ascii="宋体" w:hAnsi="宋体" w:eastAsia="宋体" w:cs="宋体"/>
          <w:b/>
          <w:bCs/>
          <w:sz w:val="32"/>
          <w:szCs w:val="32"/>
        </w:rPr>
        <w:t>上虞农商银行“丰收信福”2024年第40期封闭式净值型人民币理财产品2024年</w:t>
      </w:r>
      <w:r>
        <w:rPr>
          <w:rFonts w:hint="eastAsia" w:ascii="宋体" w:hAnsi="宋体" w:eastAsia="宋体" w:cs="宋体"/>
          <w:b/>
          <w:bCs/>
          <w:sz w:val="32"/>
          <w:szCs w:val="32"/>
          <w:lang w:val="en-US" w:eastAsia="zh-CN"/>
        </w:rPr>
        <w:t>年</w:t>
      </w:r>
      <w:r>
        <w:rPr>
          <w:rFonts w:hint="eastAsia" w:ascii="宋体" w:hAnsi="宋体" w:eastAsia="宋体" w:cs="宋体"/>
          <w:b/>
          <w:bCs/>
          <w:sz w:val="32"/>
          <w:szCs w:val="32"/>
        </w:rPr>
        <w:t>度报告</w:t>
      </w:r>
    </w:p>
    <w:p w14:paraId="6F423CC6">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09CB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554EDF6">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产品信息</w:t>
            </w:r>
          </w:p>
        </w:tc>
        <w:tc>
          <w:tcPr>
            <w:tcW w:w="4328" w:type="dxa"/>
          </w:tcPr>
          <w:p w14:paraId="55F2C09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要素内容</w:t>
            </w:r>
          </w:p>
        </w:tc>
      </w:tr>
      <w:tr w14:paraId="2597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58EB012B">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产品名称</w:t>
            </w:r>
          </w:p>
        </w:tc>
        <w:tc>
          <w:tcPr>
            <w:tcW w:w="4328" w:type="dxa"/>
          </w:tcPr>
          <w:p w14:paraId="6A57A51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上虞农商银行“丰收信福”2024年第40期封闭式净值型人民币理财产品</w:t>
            </w:r>
          </w:p>
        </w:tc>
      </w:tr>
      <w:tr w14:paraId="4E47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47A000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产品代码</w:t>
            </w:r>
          </w:p>
        </w:tc>
        <w:tc>
          <w:tcPr>
            <w:tcW w:w="4328" w:type="dxa"/>
          </w:tcPr>
          <w:p w14:paraId="1D5584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FSXFFBJZ8922024040</w:t>
            </w:r>
          </w:p>
        </w:tc>
      </w:tr>
      <w:tr w14:paraId="0D86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30F1D1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理财产品登记编码</w:t>
            </w:r>
          </w:p>
        </w:tc>
        <w:tc>
          <w:tcPr>
            <w:tcW w:w="4328" w:type="dxa"/>
          </w:tcPr>
          <w:p w14:paraId="09311D3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C1124924000039</w:t>
            </w:r>
          </w:p>
        </w:tc>
      </w:tr>
      <w:tr w14:paraId="5DAB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A576BE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产品成立日</w:t>
            </w:r>
          </w:p>
        </w:tc>
        <w:tc>
          <w:tcPr>
            <w:tcW w:w="4328" w:type="dxa"/>
            <w:vAlign w:val="center"/>
          </w:tcPr>
          <w:p w14:paraId="348991A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2024/09/10</w:t>
            </w:r>
          </w:p>
        </w:tc>
      </w:tr>
      <w:tr w14:paraId="1D36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BA2E6B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产品到期日</w:t>
            </w:r>
          </w:p>
        </w:tc>
        <w:tc>
          <w:tcPr>
            <w:tcW w:w="4328" w:type="dxa"/>
          </w:tcPr>
          <w:p w14:paraId="4F6A567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2025/09/12</w:t>
            </w:r>
          </w:p>
        </w:tc>
      </w:tr>
      <w:tr w14:paraId="0048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2A27E62">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产品类型</w:t>
            </w:r>
          </w:p>
        </w:tc>
        <w:tc>
          <w:tcPr>
            <w:tcW w:w="4328" w:type="dxa"/>
          </w:tcPr>
          <w:p w14:paraId="1211D36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非保本浮动收益型</w:t>
            </w:r>
          </w:p>
        </w:tc>
      </w:tr>
      <w:tr w14:paraId="081B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C83720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产品风险等级</w:t>
            </w:r>
          </w:p>
        </w:tc>
        <w:tc>
          <w:tcPr>
            <w:tcW w:w="4328" w:type="dxa"/>
          </w:tcPr>
          <w:p w14:paraId="146F853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PR2中低风险</w:t>
            </w:r>
          </w:p>
        </w:tc>
      </w:tr>
      <w:tr w14:paraId="5FC4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B3A599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托管人</w:t>
            </w:r>
          </w:p>
        </w:tc>
        <w:tc>
          <w:tcPr>
            <w:tcW w:w="4328" w:type="dxa"/>
          </w:tcPr>
          <w:p w14:paraId="373A21E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招商银行股份有限公司</w:t>
            </w:r>
          </w:p>
        </w:tc>
      </w:tr>
      <w:tr w14:paraId="3B57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594D76D">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管理人</w:t>
            </w:r>
          </w:p>
        </w:tc>
        <w:tc>
          <w:tcPr>
            <w:tcW w:w="4328" w:type="dxa"/>
          </w:tcPr>
          <w:p w14:paraId="4C7F5D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浙江上虞农村商业银行股份有限公司</w:t>
            </w:r>
          </w:p>
        </w:tc>
      </w:tr>
      <w:tr w14:paraId="48E1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DF77C2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理财币种</w:t>
            </w:r>
          </w:p>
        </w:tc>
        <w:tc>
          <w:tcPr>
            <w:tcW w:w="4328" w:type="dxa"/>
          </w:tcPr>
          <w:p w14:paraId="26CF86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人民币</w:t>
            </w:r>
          </w:p>
        </w:tc>
      </w:tr>
      <w:tr w14:paraId="2FC4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72E04BF">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业绩比较基准</w:t>
            </w:r>
          </w:p>
        </w:tc>
        <w:tc>
          <w:tcPr>
            <w:tcW w:w="4328" w:type="dxa"/>
          </w:tcPr>
          <w:p w14:paraId="7EC57E0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2.30-2.80%</w:t>
            </w:r>
          </w:p>
        </w:tc>
      </w:tr>
      <w:tr w14:paraId="19EB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ED76FFB">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产品托管费率</w:t>
            </w:r>
          </w:p>
        </w:tc>
        <w:tc>
          <w:tcPr>
            <w:tcW w:w="4328" w:type="dxa"/>
          </w:tcPr>
          <w:p w14:paraId="0420B14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0.015%</w:t>
            </w:r>
          </w:p>
        </w:tc>
      </w:tr>
      <w:tr w14:paraId="056C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0F7F374">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产品外包估值费率</w:t>
            </w:r>
          </w:p>
        </w:tc>
        <w:tc>
          <w:tcPr>
            <w:tcW w:w="4328" w:type="dxa"/>
          </w:tcPr>
          <w:p w14:paraId="108CFC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0.000%</w:t>
            </w:r>
          </w:p>
        </w:tc>
      </w:tr>
      <w:tr w14:paraId="6691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47E5643">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报告期末资产净值（元）</w:t>
            </w:r>
          </w:p>
        </w:tc>
        <w:tc>
          <w:tcPr>
            <w:tcW w:w="4328" w:type="dxa"/>
            <w:vAlign w:val="center"/>
          </w:tcPr>
          <w:p w14:paraId="5D4555DA">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b/>
                <w:bCs/>
                <w:kern w:val="0"/>
                <w:sz w:val="24"/>
                <w:szCs w:val="24"/>
              </w:rPr>
              <w:t>20168000</w:t>
            </w:r>
          </w:p>
        </w:tc>
      </w:tr>
      <w:tr w14:paraId="1552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5739EE7">
            <w:pPr>
              <w:spacing w:line="48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报告期末理财产品份额（份）</w:t>
            </w:r>
          </w:p>
        </w:tc>
        <w:tc>
          <w:tcPr>
            <w:tcW w:w="4328" w:type="dxa"/>
            <w:vAlign w:val="center"/>
          </w:tcPr>
          <w:p w14:paraId="38DBACF2">
            <w:pPr>
              <w:widowControl/>
              <w:jc w:val="center"/>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20000000</w:t>
            </w:r>
          </w:p>
        </w:tc>
      </w:tr>
    </w:tbl>
    <w:p w14:paraId="538A313E">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产品收益表现</w:t>
      </w:r>
    </w:p>
    <w:p w14:paraId="503ACDAD">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27E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AE0EA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期末日期</w:t>
            </w:r>
          </w:p>
        </w:tc>
        <w:tc>
          <w:tcPr>
            <w:tcW w:w="2841" w:type="dxa"/>
          </w:tcPr>
          <w:p w14:paraId="5AA2E82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份额净值</w:t>
            </w:r>
          </w:p>
        </w:tc>
        <w:tc>
          <w:tcPr>
            <w:tcW w:w="2841" w:type="dxa"/>
          </w:tcPr>
          <w:p w14:paraId="2681BCE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份额累计净值</w:t>
            </w:r>
          </w:p>
        </w:tc>
      </w:tr>
      <w:tr w14:paraId="0B49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AB172E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2024/12/31</w:t>
            </w:r>
          </w:p>
        </w:tc>
        <w:tc>
          <w:tcPr>
            <w:tcW w:w="2841" w:type="dxa"/>
          </w:tcPr>
          <w:p w14:paraId="5CD8000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1.0084</w:t>
            </w:r>
          </w:p>
        </w:tc>
        <w:tc>
          <w:tcPr>
            <w:tcW w:w="2841" w:type="dxa"/>
          </w:tcPr>
          <w:p w14:paraId="66DD7E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1.0084</w:t>
            </w:r>
          </w:p>
        </w:tc>
      </w:tr>
    </w:tbl>
    <w:p w14:paraId="0C454B1B">
      <w:pPr>
        <w:numPr>
          <w:ilvl w:val="0"/>
          <w:numId w:val="2"/>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FAE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ECA03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时间阶段</w:t>
            </w:r>
          </w:p>
        </w:tc>
        <w:tc>
          <w:tcPr>
            <w:tcW w:w="4261" w:type="dxa"/>
          </w:tcPr>
          <w:p w14:paraId="78EE58F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净值增长率（%）</w:t>
            </w:r>
          </w:p>
        </w:tc>
      </w:tr>
      <w:tr w14:paraId="5CD8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7C19D8D">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当期</w:t>
            </w:r>
          </w:p>
        </w:tc>
        <w:tc>
          <w:tcPr>
            <w:tcW w:w="4261" w:type="dxa"/>
          </w:tcPr>
          <w:p w14:paraId="25000A74">
            <w:pPr>
              <w:spacing w:line="480" w:lineRule="auto"/>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0.84</w:t>
            </w:r>
          </w:p>
        </w:tc>
      </w:tr>
      <w:tr w14:paraId="1572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A93772E">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自产品成立日至今</w:t>
            </w:r>
          </w:p>
        </w:tc>
        <w:tc>
          <w:tcPr>
            <w:tcW w:w="4261" w:type="dxa"/>
          </w:tcPr>
          <w:p w14:paraId="0DECCA1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0.84</w:t>
            </w:r>
          </w:p>
        </w:tc>
      </w:tr>
    </w:tbl>
    <w:p w14:paraId="46721DA5">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说明：理财产品过往业绩不代表其未来表现，不等于理财产品实际收益，投资须谨慎。本产品单位净值暂未扣除投资管理费，该费用在产品到期</w:t>
      </w:r>
      <w:bookmarkStart w:id="0" w:name="_GoBack"/>
      <w:bookmarkEnd w:id="0"/>
      <w:r>
        <w:rPr>
          <w:rFonts w:hint="eastAsia" w:ascii="宋体" w:hAnsi="宋体" w:eastAsia="宋体" w:cs="宋体"/>
          <w:b/>
          <w:bCs/>
          <w:sz w:val="24"/>
          <w:szCs w:val="24"/>
        </w:rPr>
        <w:t>日进行统一计提。</w:t>
      </w:r>
    </w:p>
    <w:p w14:paraId="43A7B402">
      <w:pPr>
        <w:numPr>
          <w:ilvl w:val="0"/>
          <w:numId w:val="1"/>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投资组合情况</w:t>
      </w:r>
    </w:p>
    <w:p w14:paraId="2673EF48">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3A73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783BAEE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资产类型</w:t>
            </w:r>
          </w:p>
        </w:tc>
        <w:tc>
          <w:tcPr>
            <w:tcW w:w="2715" w:type="dxa"/>
            <w:gridSpan w:val="2"/>
          </w:tcPr>
          <w:p w14:paraId="42A1C2C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直接投资</w:t>
            </w:r>
          </w:p>
        </w:tc>
        <w:tc>
          <w:tcPr>
            <w:tcW w:w="2858" w:type="dxa"/>
            <w:gridSpan w:val="2"/>
          </w:tcPr>
          <w:p w14:paraId="15EE379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间接投资</w:t>
            </w:r>
          </w:p>
        </w:tc>
      </w:tr>
      <w:tr w14:paraId="5B33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040BE0BE">
            <w:pPr>
              <w:spacing w:line="480" w:lineRule="auto"/>
              <w:rPr>
                <w:rFonts w:hint="eastAsia" w:ascii="宋体" w:hAnsi="宋体" w:eastAsia="宋体" w:cs="宋体"/>
                <w:b/>
                <w:bCs/>
                <w:kern w:val="0"/>
                <w:sz w:val="24"/>
                <w:szCs w:val="24"/>
              </w:rPr>
            </w:pPr>
          </w:p>
        </w:tc>
        <w:tc>
          <w:tcPr>
            <w:tcW w:w="1320" w:type="dxa"/>
            <w:vAlign w:val="center"/>
          </w:tcPr>
          <w:p w14:paraId="485B9B7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395" w:type="dxa"/>
            <w:vAlign w:val="center"/>
          </w:tcPr>
          <w:p w14:paraId="21AE642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c>
          <w:tcPr>
            <w:tcW w:w="1425" w:type="dxa"/>
            <w:vAlign w:val="center"/>
          </w:tcPr>
          <w:p w14:paraId="1F059EB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1433" w:type="dxa"/>
            <w:vAlign w:val="center"/>
          </w:tcPr>
          <w:p w14:paraId="4057EBE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投资比例(%)</w:t>
            </w:r>
          </w:p>
        </w:tc>
      </w:tr>
      <w:tr w14:paraId="1646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23ED5C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固定收益类资产：</w:t>
            </w:r>
          </w:p>
        </w:tc>
        <w:tc>
          <w:tcPr>
            <w:tcW w:w="1320" w:type="dxa"/>
            <w:vAlign w:val="center"/>
          </w:tcPr>
          <w:p w14:paraId="2EF63BD0">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2016.80</w:t>
            </w:r>
          </w:p>
        </w:tc>
        <w:tc>
          <w:tcPr>
            <w:tcW w:w="1395" w:type="dxa"/>
          </w:tcPr>
          <w:p w14:paraId="1B072D4A">
            <w:pPr>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kern w:val="0"/>
                <w:sz w:val="24"/>
                <w:szCs w:val="24"/>
              </w:rPr>
              <w:t>100</w:t>
            </w:r>
          </w:p>
        </w:tc>
        <w:tc>
          <w:tcPr>
            <w:tcW w:w="1425" w:type="dxa"/>
            <w:vAlign w:val="center"/>
          </w:tcPr>
          <w:p w14:paraId="1FC67A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2143.64</w:t>
            </w:r>
          </w:p>
        </w:tc>
        <w:tc>
          <w:tcPr>
            <w:tcW w:w="1433" w:type="dxa"/>
            <w:vAlign w:val="center"/>
          </w:tcPr>
          <w:p w14:paraId="3409E91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100</w:t>
            </w:r>
          </w:p>
        </w:tc>
      </w:tr>
      <w:tr w14:paraId="7EA5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CD3B51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债券</w:t>
            </w:r>
          </w:p>
        </w:tc>
        <w:tc>
          <w:tcPr>
            <w:tcW w:w="1320" w:type="dxa"/>
          </w:tcPr>
          <w:p w14:paraId="77B7F31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4F493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EDB7ED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2104.31</w:t>
            </w:r>
          </w:p>
        </w:tc>
        <w:tc>
          <w:tcPr>
            <w:tcW w:w="1433" w:type="dxa"/>
            <w:vAlign w:val="center"/>
          </w:tcPr>
          <w:p w14:paraId="479A4C6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98.16 </w:t>
            </w:r>
          </w:p>
        </w:tc>
      </w:tr>
      <w:tr w14:paraId="5B4C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3083823">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存款</w:t>
            </w:r>
          </w:p>
        </w:tc>
        <w:tc>
          <w:tcPr>
            <w:tcW w:w="1320" w:type="dxa"/>
          </w:tcPr>
          <w:p w14:paraId="1180E14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29EE6E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29CE79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6.2</w:t>
            </w:r>
          </w:p>
        </w:tc>
        <w:tc>
          <w:tcPr>
            <w:tcW w:w="1433" w:type="dxa"/>
            <w:vAlign w:val="center"/>
          </w:tcPr>
          <w:p w14:paraId="2363996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0.29 </w:t>
            </w:r>
          </w:p>
        </w:tc>
      </w:tr>
      <w:tr w14:paraId="163D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717049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买入返售金融资产</w:t>
            </w:r>
          </w:p>
        </w:tc>
        <w:tc>
          <w:tcPr>
            <w:tcW w:w="1320" w:type="dxa"/>
          </w:tcPr>
          <w:p w14:paraId="6797BB5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F497F7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vAlign w:val="center"/>
          </w:tcPr>
          <w:p w14:paraId="178E2C1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33.13</w:t>
            </w:r>
          </w:p>
        </w:tc>
        <w:tc>
          <w:tcPr>
            <w:tcW w:w="1433" w:type="dxa"/>
            <w:vAlign w:val="center"/>
          </w:tcPr>
          <w:p w14:paraId="3D9726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1.55 </w:t>
            </w:r>
          </w:p>
        </w:tc>
      </w:tr>
      <w:tr w14:paraId="1A44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58CD64F">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资产管理产品</w:t>
            </w:r>
          </w:p>
        </w:tc>
        <w:tc>
          <w:tcPr>
            <w:tcW w:w="1320" w:type="dxa"/>
            <w:vAlign w:val="center"/>
          </w:tcPr>
          <w:p w14:paraId="70819F57">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2016.80  </w:t>
            </w:r>
          </w:p>
        </w:tc>
        <w:tc>
          <w:tcPr>
            <w:tcW w:w="1395" w:type="dxa"/>
          </w:tcPr>
          <w:p w14:paraId="235648C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5FA90345">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vAlign w:val="center"/>
          </w:tcPr>
          <w:p w14:paraId="4D6F266E">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r>
      <w:tr w14:paraId="6D16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35A224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其他债权类资产</w:t>
            </w:r>
          </w:p>
        </w:tc>
        <w:tc>
          <w:tcPr>
            <w:tcW w:w="1320" w:type="dxa"/>
          </w:tcPr>
          <w:p w14:paraId="321153C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640566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167B957B">
            <w:pPr>
              <w:spacing w:line="480" w:lineRule="auto"/>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0</w:t>
            </w:r>
          </w:p>
        </w:tc>
        <w:tc>
          <w:tcPr>
            <w:tcW w:w="1433" w:type="dxa"/>
          </w:tcPr>
          <w:p w14:paraId="7FF7F15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94F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4A404D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权益类资产：</w:t>
            </w:r>
          </w:p>
        </w:tc>
        <w:tc>
          <w:tcPr>
            <w:tcW w:w="1320" w:type="dxa"/>
          </w:tcPr>
          <w:p w14:paraId="3CDD25D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30D4BB3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726659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6FFC6D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604C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9B0207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股票</w:t>
            </w:r>
          </w:p>
        </w:tc>
        <w:tc>
          <w:tcPr>
            <w:tcW w:w="1320" w:type="dxa"/>
          </w:tcPr>
          <w:p w14:paraId="16C5DBB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42A5D9C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57ADED7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24FA308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8E5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B823587">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其他股权资产</w:t>
            </w:r>
          </w:p>
        </w:tc>
        <w:tc>
          <w:tcPr>
            <w:tcW w:w="1320" w:type="dxa"/>
          </w:tcPr>
          <w:p w14:paraId="777F855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8C0066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36A31F9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1D6E01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1815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AEFE444">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商品及金融衍生品资产：</w:t>
            </w:r>
          </w:p>
        </w:tc>
        <w:tc>
          <w:tcPr>
            <w:tcW w:w="1320" w:type="dxa"/>
          </w:tcPr>
          <w:p w14:paraId="7F51158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69D394D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6BFAD4D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5E9124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2027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5228709">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商品</w:t>
            </w:r>
          </w:p>
        </w:tc>
        <w:tc>
          <w:tcPr>
            <w:tcW w:w="1320" w:type="dxa"/>
          </w:tcPr>
          <w:p w14:paraId="2A50BD3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1FB8B1A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0529AF5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AE0412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97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6998808">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金融衍生品</w:t>
            </w:r>
          </w:p>
        </w:tc>
        <w:tc>
          <w:tcPr>
            <w:tcW w:w="1320" w:type="dxa"/>
          </w:tcPr>
          <w:p w14:paraId="6EBDFC00">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395" w:type="dxa"/>
          </w:tcPr>
          <w:p w14:paraId="2A52CE0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25" w:type="dxa"/>
          </w:tcPr>
          <w:p w14:paraId="756B068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c>
          <w:tcPr>
            <w:tcW w:w="1433" w:type="dxa"/>
          </w:tcPr>
          <w:p w14:paraId="4BEA928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0</w:t>
            </w:r>
          </w:p>
        </w:tc>
      </w:tr>
      <w:tr w14:paraId="01A0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A93AFD6">
            <w:pPr>
              <w:spacing w:line="48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合计：</w:t>
            </w:r>
          </w:p>
        </w:tc>
        <w:tc>
          <w:tcPr>
            <w:tcW w:w="1320" w:type="dxa"/>
            <w:vAlign w:val="center"/>
          </w:tcPr>
          <w:p w14:paraId="51DD205D">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2016.80 </w:t>
            </w:r>
          </w:p>
        </w:tc>
        <w:tc>
          <w:tcPr>
            <w:tcW w:w="1395" w:type="dxa"/>
          </w:tcPr>
          <w:p w14:paraId="5290BBE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c>
          <w:tcPr>
            <w:tcW w:w="1425" w:type="dxa"/>
            <w:vAlign w:val="center"/>
          </w:tcPr>
          <w:p w14:paraId="7446A62B">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2143.64</w:t>
            </w:r>
          </w:p>
        </w:tc>
        <w:tc>
          <w:tcPr>
            <w:tcW w:w="1433" w:type="dxa"/>
            <w:vAlign w:val="center"/>
          </w:tcPr>
          <w:p w14:paraId="10C6B01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100</w:t>
            </w:r>
          </w:p>
        </w:tc>
      </w:tr>
    </w:tbl>
    <w:p w14:paraId="3AB052D4">
      <w:pPr>
        <w:numPr>
          <w:ilvl w:val="0"/>
          <w:numId w:val="3"/>
        </w:numPr>
        <w:spacing w:line="480" w:lineRule="auto"/>
        <w:rPr>
          <w:rFonts w:hint="eastAsia" w:ascii="宋体" w:hAnsi="宋体" w:eastAsia="宋体" w:cs="宋体"/>
          <w:b/>
          <w:bCs/>
          <w:sz w:val="24"/>
          <w:szCs w:val="24"/>
        </w:rPr>
      </w:pPr>
      <w:r>
        <w:rPr>
          <w:rFonts w:hint="eastAsia" w:ascii="宋体" w:hAnsi="宋体" w:eastAsia="宋体" w:cs="宋体"/>
          <w:b/>
          <w:bCs/>
          <w:sz w:val="24"/>
          <w:szCs w:val="24"/>
        </w:rPr>
        <w:t>产品流动性风险分析</w:t>
      </w:r>
    </w:p>
    <w:p w14:paraId="01D83A37">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5C04D6A0">
      <w:pPr>
        <w:spacing w:line="48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为防范无法支付到期赎回款而产生的流动性风险，本产品管理人将合理安排所投资产期限，产品到期前完成所投资组合中相关资产变现，尽可能降低产品流动性风险，有效保障产品持有人利益。</w:t>
      </w:r>
    </w:p>
    <w:p w14:paraId="49CE671B">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四、报告期末前十项资产明细 </w:t>
      </w:r>
    </w:p>
    <w:p w14:paraId="154CA650">
      <w:pPr>
        <w:widowControl/>
        <w:spacing w:line="480" w:lineRule="auto"/>
        <w:ind w:firstLine="482" w:firstLineChars="200"/>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4302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3ECF9BA3">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资产名称</w:t>
            </w:r>
          </w:p>
        </w:tc>
        <w:tc>
          <w:tcPr>
            <w:tcW w:w="2597" w:type="dxa"/>
            <w:vAlign w:val="center"/>
          </w:tcPr>
          <w:p w14:paraId="46D2C598">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资产规模(万元)</w:t>
            </w:r>
          </w:p>
        </w:tc>
        <w:tc>
          <w:tcPr>
            <w:tcW w:w="2841" w:type="dxa"/>
            <w:vAlign w:val="center"/>
          </w:tcPr>
          <w:p w14:paraId="348352B7">
            <w:pPr>
              <w:widowControl/>
              <w:spacing w:line="480" w:lineRule="auto"/>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占产品资产净值比例</w:t>
            </w:r>
          </w:p>
        </w:tc>
      </w:tr>
      <w:tr w14:paraId="3FF1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5A099C7">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华西证券丰收信诚6号集合资产管理计划</w:t>
            </w:r>
          </w:p>
        </w:tc>
        <w:tc>
          <w:tcPr>
            <w:tcW w:w="2597" w:type="dxa"/>
            <w:vAlign w:val="center"/>
          </w:tcPr>
          <w:p w14:paraId="18246966">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bidi="ar"/>
              </w:rPr>
              <w:t xml:space="preserve">2016.80  </w:t>
            </w:r>
          </w:p>
        </w:tc>
        <w:tc>
          <w:tcPr>
            <w:tcW w:w="2841" w:type="dxa"/>
            <w:vAlign w:val="center"/>
          </w:tcPr>
          <w:p w14:paraId="0B46F1A8">
            <w:pPr>
              <w:widowControl/>
              <w:spacing w:line="48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100%</w:t>
            </w:r>
          </w:p>
        </w:tc>
      </w:tr>
    </w:tbl>
    <w:p w14:paraId="5E4C0EE8">
      <w:pPr>
        <w:widowControl/>
        <w:spacing w:line="480" w:lineRule="auto"/>
        <w:jc w:val="left"/>
        <w:rPr>
          <w:rFonts w:hint="eastAsia" w:ascii="宋体" w:hAnsi="宋体" w:eastAsia="宋体" w:cs="宋体"/>
          <w:sz w:val="24"/>
          <w:szCs w:val="24"/>
        </w:rPr>
      </w:pPr>
      <w:r>
        <w:rPr>
          <w:rFonts w:hint="eastAsia" w:ascii="宋体" w:hAnsi="宋体" w:eastAsia="宋体" w:cs="宋体"/>
          <w:b/>
          <w:color w:val="000000"/>
          <w:kern w:val="0"/>
          <w:sz w:val="24"/>
          <w:szCs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2C52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6EA4BBC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资产名称</w:t>
            </w:r>
          </w:p>
        </w:tc>
        <w:tc>
          <w:tcPr>
            <w:tcW w:w="2110" w:type="dxa"/>
          </w:tcPr>
          <w:p w14:paraId="51DE200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资产规模(万元)</w:t>
            </w:r>
          </w:p>
        </w:tc>
        <w:tc>
          <w:tcPr>
            <w:tcW w:w="2841" w:type="dxa"/>
          </w:tcPr>
          <w:p w14:paraId="15B17B8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占产品资产净值比例（%）</w:t>
            </w:r>
          </w:p>
        </w:tc>
      </w:tr>
      <w:tr w14:paraId="2E6C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3E872F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24交通银行CD408</w:t>
            </w:r>
          </w:p>
        </w:tc>
        <w:tc>
          <w:tcPr>
            <w:tcW w:w="2110" w:type="dxa"/>
            <w:vAlign w:val="center"/>
          </w:tcPr>
          <w:p w14:paraId="18A8C64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108.74</w:t>
            </w:r>
          </w:p>
        </w:tc>
        <w:tc>
          <w:tcPr>
            <w:tcW w:w="2841" w:type="dxa"/>
            <w:vAlign w:val="center"/>
          </w:tcPr>
          <w:p w14:paraId="7994241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5.39 </w:t>
            </w:r>
          </w:p>
        </w:tc>
      </w:tr>
      <w:tr w14:paraId="2616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EFA8717">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24浦发银行CD298</w:t>
            </w:r>
          </w:p>
        </w:tc>
        <w:tc>
          <w:tcPr>
            <w:tcW w:w="2110" w:type="dxa"/>
            <w:vAlign w:val="center"/>
          </w:tcPr>
          <w:p w14:paraId="27C8014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108.72</w:t>
            </w:r>
          </w:p>
        </w:tc>
        <w:tc>
          <w:tcPr>
            <w:tcW w:w="2841" w:type="dxa"/>
            <w:vAlign w:val="center"/>
          </w:tcPr>
          <w:p w14:paraId="58709F3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5.39 </w:t>
            </w:r>
          </w:p>
        </w:tc>
      </w:tr>
      <w:tr w14:paraId="6EA6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6E1BDA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21新昌物流项目NPB01</w:t>
            </w:r>
          </w:p>
        </w:tc>
        <w:tc>
          <w:tcPr>
            <w:tcW w:w="2110" w:type="dxa"/>
            <w:vAlign w:val="center"/>
          </w:tcPr>
          <w:p w14:paraId="528EDDB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97.08</w:t>
            </w:r>
          </w:p>
        </w:tc>
        <w:tc>
          <w:tcPr>
            <w:tcW w:w="2841" w:type="dxa"/>
            <w:vAlign w:val="center"/>
          </w:tcPr>
          <w:p w14:paraId="3F53BC9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4.81 </w:t>
            </w:r>
          </w:p>
        </w:tc>
      </w:tr>
      <w:tr w14:paraId="4793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2EBAEC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22瑞海投资PPN001</w:t>
            </w:r>
          </w:p>
        </w:tc>
        <w:tc>
          <w:tcPr>
            <w:tcW w:w="2110" w:type="dxa"/>
            <w:vAlign w:val="center"/>
          </w:tcPr>
          <w:p w14:paraId="4B1F299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90.95</w:t>
            </w:r>
          </w:p>
        </w:tc>
        <w:tc>
          <w:tcPr>
            <w:tcW w:w="2841" w:type="dxa"/>
            <w:vAlign w:val="center"/>
          </w:tcPr>
          <w:p w14:paraId="61A86C55">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4.51 </w:t>
            </w:r>
          </w:p>
        </w:tc>
      </w:tr>
      <w:tr w14:paraId="5F9B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7DD6F7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22彭泽01</w:t>
            </w:r>
          </w:p>
        </w:tc>
        <w:tc>
          <w:tcPr>
            <w:tcW w:w="2110" w:type="dxa"/>
            <w:vAlign w:val="center"/>
          </w:tcPr>
          <w:p w14:paraId="6FF0E9D2">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90.78</w:t>
            </w:r>
          </w:p>
        </w:tc>
        <w:tc>
          <w:tcPr>
            <w:tcW w:w="2841" w:type="dxa"/>
            <w:vAlign w:val="center"/>
          </w:tcPr>
          <w:p w14:paraId="57D61611">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4.50 </w:t>
            </w:r>
          </w:p>
        </w:tc>
      </w:tr>
      <w:tr w14:paraId="2C8E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0B951C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24浙湖01</w:t>
            </w:r>
          </w:p>
        </w:tc>
        <w:tc>
          <w:tcPr>
            <w:tcW w:w="2110" w:type="dxa"/>
            <w:vAlign w:val="center"/>
          </w:tcPr>
          <w:p w14:paraId="7262FD56">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69.57</w:t>
            </w:r>
          </w:p>
        </w:tc>
        <w:tc>
          <w:tcPr>
            <w:tcW w:w="2841" w:type="dxa"/>
            <w:vAlign w:val="center"/>
          </w:tcPr>
          <w:p w14:paraId="5C0694DA">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3.45 </w:t>
            </w:r>
          </w:p>
        </w:tc>
      </w:tr>
      <w:tr w14:paraId="603D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1AEFD54">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22温国01</w:t>
            </w:r>
          </w:p>
        </w:tc>
        <w:tc>
          <w:tcPr>
            <w:tcW w:w="2110" w:type="dxa"/>
            <w:vAlign w:val="center"/>
          </w:tcPr>
          <w:p w14:paraId="685079D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67.98</w:t>
            </w:r>
          </w:p>
        </w:tc>
        <w:tc>
          <w:tcPr>
            <w:tcW w:w="2841" w:type="dxa"/>
            <w:vAlign w:val="center"/>
          </w:tcPr>
          <w:p w14:paraId="7AD0F689">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0C90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A686B3F">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22金阳投资MTN002</w:t>
            </w:r>
          </w:p>
        </w:tc>
        <w:tc>
          <w:tcPr>
            <w:tcW w:w="2110" w:type="dxa"/>
            <w:vAlign w:val="center"/>
          </w:tcPr>
          <w:p w14:paraId="6EB81CA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67.89</w:t>
            </w:r>
          </w:p>
        </w:tc>
        <w:tc>
          <w:tcPr>
            <w:tcW w:w="2841" w:type="dxa"/>
            <w:vAlign w:val="center"/>
          </w:tcPr>
          <w:p w14:paraId="2F4BA878">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3.37 </w:t>
            </w:r>
          </w:p>
        </w:tc>
      </w:tr>
      <w:tr w14:paraId="378B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0717D9D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22长滨02</w:t>
            </w:r>
          </w:p>
        </w:tc>
        <w:tc>
          <w:tcPr>
            <w:tcW w:w="2110" w:type="dxa"/>
            <w:vAlign w:val="center"/>
          </w:tcPr>
          <w:p w14:paraId="42699DFD">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67.23</w:t>
            </w:r>
          </w:p>
        </w:tc>
        <w:tc>
          <w:tcPr>
            <w:tcW w:w="2841" w:type="dxa"/>
            <w:vAlign w:val="center"/>
          </w:tcPr>
          <w:p w14:paraId="5317015E">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3.33 </w:t>
            </w:r>
          </w:p>
        </w:tc>
      </w:tr>
      <w:tr w14:paraId="3FCD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023A2A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24上虞国投MTN005</w:t>
            </w:r>
          </w:p>
        </w:tc>
        <w:tc>
          <w:tcPr>
            <w:tcW w:w="2110" w:type="dxa"/>
            <w:vAlign w:val="center"/>
          </w:tcPr>
          <w:p w14:paraId="63C2AA0C">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66.18</w:t>
            </w:r>
          </w:p>
        </w:tc>
        <w:tc>
          <w:tcPr>
            <w:tcW w:w="2841" w:type="dxa"/>
            <w:vAlign w:val="center"/>
          </w:tcPr>
          <w:p w14:paraId="4ED54233">
            <w:pPr>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 xml:space="preserve">3.28 </w:t>
            </w:r>
          </w:p>
        </w:tc>
      </w:tr>
    </w:tbl>
    <w:p w14:paraId="2866D168">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备注：</w:t>
      </w:r>
    </w:p>
    <w:p w14:paraId="60A164B3">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 xml:space="preserve">上述各类资产的投资占比，根据报告期末的实际运作情况计算得出，该资产配置会随后续实际投资情况动态变化。 </w:t>
      </w:r>
    </w:p>
    <w:p w14:paraId="05D814F4">
      <w:pPr>
        <w:spacing w:line="480" w:lineRule="auto"/>
        <w:rPr>
          <w:rFonts w:hint="eastAsia" w:ascii="宋体" w:hAnsi="宋体" w:eastAsia="宋体" w:cs="宋体"/>
          <w:b/>
          <w:bCs/>
          <w:sz w:val="24"/>
          <w:szCs w:val="24"/>
        </w:rPr>
      </w:pPr>
      <w:r>
        <w:rPr>
          <w:rFonts w:hint="eastAsia" w:ascii="宋体" w:hAnsi="宋体" w:eastAsia="宋体" w:cs="宋体"/>
          <w:b/>
          <w:bCs/>
          <w:sz w:val="24"/>
          <w:szCs w:val="24"/>
        </w:rPr>
        <w:t>特此公告！</w:t>
      </w:r>
    </w:p>
    <w:p w14:paraId="35C17C2C">
      <w:pPr>
        <w:spacing w:line="480" w:lineRule="auto"/>
        <w:rPr>
          <w:rFonts w:hint="eastAsia" w:ascii="宋体" w:hAnsi="宋体" w:eastAsia="宋体" w:cs="宋体"/>
          <w:b/>
          <w:bCs/>
          <w:sz w:val="24"/>
          <w:szCs w:val="24"/>
        </w:rPr>
      </w:pPr>
    </w:p>
    <w:p w14:paraId="5C6C5CA0">
      <w:pPr>
        <w:spacing w:line="480" w:lineRule="auto"/>
        <w:rPr>
          <w:rFonts w:hint="eastAsia" w:ascii="宋体" w:hAnsi="宋体" w:eastAsia="宋体" w:cs="宋体"/>
          <w:b/>
          <w:bCs/>
          <w:sz w:val="24"/>
          <w:szCs w:val="24"/>
        </w:rPr>
      </w:pPr>
    </w:p>
    <w:p w14:paraId="1CF2D9AC">
      <w:pPr>
        <w:spacing w:line="480" w:lineRule="auto"/>
        <w:rPr>
          <w:rFonts w:hint="eastAsia" w:ascii="宋体" w:hAnsi="宋体" w:eastAsia="宋体" w:cs="宋体"/>
          <w:b/>
          <w:bCs/>
          <w:sz w:val="24"/>
          <w:szCs w:val="24"/>
        </w:rPr>
      </w:pPr>
    </w:p>
    <w:p w14:paraId="3C8C1E8C">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 xml:space="preserve">                                    浙江上虞农村商业银行股份有限公司</w:t>
      </w:r>
    </w:p>
    <w:p w14:paraId="1F85E395">
      <w:pPr>
        <w:spacing w:line="480" w:lineRule="auto"/>
        <w:jc w:val="right"/>
        <w:rPr>
          <w:rFonts w:hint="eastAsia" w:ascii="宋体" w:hAnsi="宋体" w:eastAsia="宋体" w:cs="宋体"/>
          <w:b/>
          <w:bCs/>
          <w:sz w:val="24"/>
          <w:szCs w:val="24"/>
        </w:rPr>
      </w:pP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-1-15</w:t>
      </w:r>
    </w:p>
    <w:p w14:paraId="6B4FE2CF">
      <w:pPr>
        <w:spacing w:line="480" w:lineRule="auto"/>
        <w:rPr>
          <w:rFonts w:hint="eastAsia" w:ascii="宋体" w:hAnsi="宋体" w:eastAsia="宋体" w:cs="宋体"/>
          <w:b/>
          <w:bCs/>
          <w:sz w:val="24"/>
          <w:szCs w:val="24"/>
        </w:rPr>
      </w:pPr>
    </w:p>
    <w:p w14:paraId="4E5B85C1">
      <w:pPr>
        <w:spacing w:line="480" w:lineRule="auto"/>
        <w:rPr>
          <w:rFonts w:hint="eastAsia" w:ascii="宋体" w:hAnsi="宋体" w:eastAsia="宋体" w:cs="宋体"/>
          <w:b/>
          <w:bCs/>
          <w:sz w:val="24"/>
          <w:szCs w:val="24"/>
        </w:rPr>
      </w:pPr>
    </w:p>
    <w:p w14:paraId="5FF48F56">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6D"/>
    <w:rsid w:val="004C466D"/>
    <w:rsid w:val="00D5329C"/>
    <w:rsid w:val="07532E08"/>
    <w:rsid w:val="37BF0D4D"/>
    <w:rsid w:val="6D17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999</Words>
  <Characters>1314</Characters>
  <Lines>10</Lines>
  <Paragraphs>2</Paragraphs>
  <TotalTime>2</TotalTime>
  <ScaleCrop>false</ScaleCrop>
  <LinksUpToDate>false</LinksUpToDate>
  <CharactersWithSpaces>1384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2025-01-07T01:50:00Z</dcterms:created>
  <dc:creator>ADMIN</dc:creator>
  <cp:lastModifiedBy>寂静韶华</cp:lastModifiedBy>
  <dcterms:modified xsi:type="dcterms:W3CDTF">2025-01-09T08:38:08Z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eyJoZGlkIjoiNDk5NWY4MDJlZWJiMjQzZThhNjgwYjc2N2E0OWIwY2IiLCJ1c2VySWQiOiI3MTI3ODUyMDkifQ==</vt:lpwstr>
  </property>
  <property fmtid="{D5CDD505-2E9C-101B-9397-08002B2CF9AE}" pid="3" name="KSOProductBuildVer">
    <vt:lpwstr>2052-12.1.0.19770</vt:lpwstr>
  </property>
  <property fmtid="{D5CDD505-2E9C-101B-9397-08002B2CF9AE}" pid="4" name="ICV">
    <vt:lpwstr>ECA726B669A047E291D91DF3A53228DD_12</vt:lpwstr>
  </property>
</Properties>
</file>