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bookmarkStart w:id="0" w:name="_GoBack"/>
      <w:bookmarkEnd w:id="0"/>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幸福99丰裕固收386天25068期理财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幸福99丰裕固收386天25068期理财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幸福99丰裕固收386天25068期理财风险揭示书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幸福99丰裕固收386天25068期理财产品说明书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幸福99丰裕固收386天25068期理财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（202201版）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关</w:t>
      </w:r>
      <w:r>
        <w:rPr>
          <w:rFonts w:ascii="宋体" w:hAnsi="宋体" w:cs="宋体"/>
          <w:b/>
          <w:sz w:val="24"/>
          <w:highlight w:val="none"/>
        </w:rPr>
        <w:t>联关系风险：本理财</w:t>
      </w:r>
      <w:r>
        <w:rPr>
          <w:rFonts w:hint="eastAsia" w:ascii="宋体" w:hAnsi="宋体" w:cs="宋体"/>
          <w:b/>
          <w:sz w:val="24"/>
          <w:highlight w:val="none"/>
        </w:rPr>
        <w:t>计划</w:t>
      </w:r>
      <w:r>
        <w:rPr>
          <w:rFonts w:ascii="宋体" w:hAnsi="宋体" w:cs="宋体"/>
          <w:b/>
          <w:sz w:val="24"/>
          <w:highlight w:val="none"/>
        </w:rPr>
        <w:t>销售机构</w:t>
      </w:r>
      <w:r>
        <w:rPr>
          <w:rFonts w:hint="eastAsia" w:ascii="宋体" w:hAnsi="宋体" w:cs="宋体"/>
          <w:b/>
          <w:sz w:val="24"/>
          <w:highlight w:val="none"/>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rPr>
        <w:t>理财计划</w:t>
      </w:r>
      <w:r>
        <w:rPr>
          <w:rFonts w:ascii="宋体" w:hAnsi="宋体" w:cs="宋体"/>
          <w:b/>
          <w:sz w:val="24"/>
          <w:highlight w:val="none"/>
        </w:rPr>
        <w:t>收益，不承担</w:t>
      </w:r>
      <w:r>
        <w:rPr>
          <w:rFonts w:hint="eastAsia" w:ascii="宋体" w:hAnsi="宋体" w:cs="宋体"/>
          <w:b/>
          <w:sz w:val="24"/>
          <w:highlight w:val="none"/>
        </w:rPr>
        <w:t>理财计划</w:t>
      </w:r>
      <w:r>
        <w:rPr>
          <w:rFonts w:ascii="宋体" w:hAnsi="宋体" w:cs="宋体"/>
          <w:b/>
          <w:sz w:val="24"/>
          <w:highlight w:val="none"/>
        </w:rPr>
        <w:t>的投资、兑付和风险管理责任。</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〗净值型理财计划，〖386天〗</w:t>
      </w:r>
      <w:r>
        <w:rPr>
          <w:rFonts w:hint="eastAsia" w:ascii="宋体" w:hAnsi="宋体" w:cs="宋体"/>
          <w:bCs/>
          <w:color w:val="000000"/>
          <w:sz w:val="24"/>
          <w:highlight w:val="none"/>
        </w:rPr>
        <w:t>，</w:t>
      </w:r>
      <w:r>
        <w:rPr>
          <w:rFonts w:hint="eastAsia" w:ascii="宋体" w:hAnsi="宋体" w:cs="宋体"/>
          <w:b/>
          <w:sz w:val="24"/>
          <w:highlight w:val="none"/>
        </w:rPr>
        <w:t>不保证本金与收益。根据本公司理财产品内部风险评级，该理财计划风险评级结果为〖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〗。本理财计划适合〖机构投资者〗以及〖稳健型、平衡型、成长型、进取型〗的个人投资者，个人投资者的风险承受能力评估以销售机构为准。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3"/>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3"/>
        <w:spacing w:line="360" w:lineRule="auto"/>
        <w:jc w:val="both"/>
        <w:rPr>
          <w:rFonts w:hint="eastAsia" w:ascii="宋体" w:hAnsi="宋体" w:cs="宋体"/>
          <w:b/>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3"/>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3"/>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3"/>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幸福99丰裕固收386天25068期理财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（202201版）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Z7002225000118</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交易合同。</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幸福99丰裕固收386天25068期理财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幸福99丰裕固收386天25068期理财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幸福99丰裕固收386天25068期理财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幸福99丰裕固收386天25068期理财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幸福99丰裕固收386天25068期理财</w:t>
      </w:r>
      <w:r>
        <w:rPr>
          <w:rFonts w:hint="eastAsia" w:ascii="宋体" w:hAnsi="宋体" w:cs="宋体"/>
          <w:bCs/>
          <w:color w:val="auto"/>
          <w:kern w:val="2"/>
          <w:highlight w:val="none"/>
        </w:rPr>
        <w:t>合同不可分割组成部分的理财计划销售协议书，以及对该文件的有效修改与补充。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幸福99丰裕固收386天25068期理财</w:t>
      </w:r>
      <w:r>
        <w:rPr>
          <w:rFonts w:hint="eastAsia" w:ascii="宋体" w:hAnsi="宋体" w:cs="宋体"/>
          <w:bCs/>
          <w:highlight w:val="none"/>
        </w:rPr>
        <w:t>。</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adjustRightInd/>
        <w:spacing w:line="360" w:lineRule="auto"/>
        <w:rPr>
          <w:rFonts w:hint="eastAsia" w:ascii="宋体" w:hAnsi="宋体" w:cs="宋体"/>
          <w:bCs/>
          <w:color w:val="auto"/>
          <w:kern w:val="2"/>
          <w:highlight w:val="none"/>
        </w:rPr>
      </w:pPr>
    </w:p>
    <w:p>
      <w:pPr>
        <w:pStyle w:val="13"/>
        <w:numPr>
          <w:ilvl w:val="0"/>
          <w:numId w:val="17"/>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3"/>
        <w:adjustRightInd/>
        <w:spacing w:line="360" w:lineRule="auto"/>
        <w:rPr>
          <w:rFonts w:hint="eastAsia" w:ascii="宋体" w:hAnsi="宋体" w:cs="宋体"/>
          <w:bCs/>
          <w:color w:val="auto"/>
          <w:kern w:val="2"/>
          <w:highlight w:val="none"/>
        </w:rPr>
      </w:pPr>
    </w:p>
    <w:p>
      <w:pPr>
        <w:pStyle w:val="13"/>
        <w:numPr>
          <w:ilvl w:val="0"/>
          <w:numId w:val="17"/>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幸福99丰裕固收386天25068期理财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丰裕固收25068期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本理财计划在全国银行业理财信息登记系统的登记编码是〖Z7002225000118〗，投资者可依据该编码在“中国理财网（www.chinawealth.com.cn）”查询本理财计划信息。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A份额（销售代码〖FYG25068A〗）：部分代销机构客户。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B份额（销售代码〖FYG25068B〗）：部分代销机构客户。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C份额（销售代码〖FYG25068C〗）：部分代销机构客户。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D份额（销售代码〖FYG25068D〗）：部分代销机构客户。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G份额（销售代码〖FYG25068G〗）：部分代销机构客户。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H份额(北行专属)（销售代码〖FYG25068H〗）：部分代销机构客户。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J份额（销售代码〖FYG25068J〗）：部分代销机构客户。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K份额（鲲鹏优选）（销售代码〖FYG25068K〗）：部分代销机构客户。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L份额(兰州银行专属)（销售代码〖FYG25068L〗）：部分代销机构客户。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M份额（销售代码〖FYG25068M〗）：部分代销机构客户。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N份额惠享款(长长财富·专属)（销售代码〖FYG25068N〗）：部分代销机构客户。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P份额（芙蓉锦程·优选）（销售代码〖FYG25068P〗）：部分代销机构客户。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R份额惠享款吉行十二号（销售代码〖FYG25068R〗）：部分代销机构客户。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V份额（金芙蓉专属）（销售代码〖FYG25068V〗）：部分代销机构客户。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W份额惠享款（销售代码〖FYG25068W〗）：部分代销机构客户。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Y份额惠享款（销售代码〖FYG25068Y〗）：部分代销机构客户。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Z份额惠享款（销售代码〖FYG25068Z〗）：部分代销机构客户。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〖2025〗年〖4〗月〖1〗日-〖2025〗年〖4〗月〖7〗日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〖2026〗年〖4〗月〖29〗日，若到期日为非工作日则顺延至下一个工作日。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〖386〗天（实际理财期限受制于管理人提前终止权等条款）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产品续期</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本理财计划在到期日前如遇部分资产无法变现，为保障投资者权益，管理人有权进行一次或多次续期，并在到期日前〖5〗</w:t>
            </w:r>
            <w:r>
              <w:rPr>
                <w:rFonts w:hint="eastAsia" w:ascii="宋体" w:hAnsi="宋体" w:eastAsia="宋体" w:cs="宋体"/>
                <w:bCs/>
                <w:kern w:val="2"/>
                <w:sz w:val="21"/>
                <w:szCs w:val="21"/>
                <w:highlight w:val="none"/>
                <w:lang w:val="en-US" w:eastAsia="zh-CN" w:bidi="ar-SA"/>
              </w:rPr>
              <w:t>个工作日对外公告续期事宜及续期时间。理财计划在续期期间不得进行申购和赎回。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〖M份额〗起点〖1〗元整，超过认购起点部分，应为〖1〗元的整数倍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个工作日内（遇节假日顺延）理财资金与收益一次性支付。如遇资金在途或法定工作日调整，实际资金到账日以公告为准。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本理财计划〖G份额〗业绩比较基准为〖2.93%-3.33%〗（年化）。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本理财计划〖J份额〗业绩比较基准为〖2.85%-3.25%〗（年化）。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本理财计划〖M份额〗业绩比较基准为〖2.80%-3.20%〗（年化）。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本理财计划〖P份额〗业绩比较基准为〖2.79%-3.19%〗（年化）。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本理财计划〖Z份额〗业绩比较基准为〖2.80%-3.20%〗（年化）。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〖G份额〗收取年化〖0.01%〗的销售服务费, 〖H份额〗收取年化〖0.20%〗的销售服务费, 〖J份额〗收取年化〖0.05%〗的销售服务费, 〖K份额〗收取年化〖0.30%〗的销售服务费, 〖L份额〗收取年化〖0.10%〗的销售服务费, 〖M份额〗收取年化〖0.10%〗的销售服务费, 〖N份额〗收取年化〖0.20%〗的销售服务费, 〖P份额〗收取年化〖0.15%〗的销售服务费, 〖R份额〗收取年化〖0.15%〗的销售服务费, 〖V份额〗收取年化〖0.10%〗的销售服务费, 〖W份额〗收取年化〖0.30%〗的销售服务费, 〖Y份额〗收取年化〖0.20%〗的销售服务费, 〖Z份额〗收取年化〖0.10%〗的销售服务费。</w:t>
            </w:r>
            <w:r>
              <w:rPr>
                <w:rFonts w:hint="eastAsia" w:ascii="宋体" w:hAnsi="宋体" w:eastAsia="宋体" w:cs="宋体"/>
                <w:color w:val="000000"/>
                <w:kern w:val="2"/>
                <w:sz w:val="21"/>
                <w:szCs w:val="21"/>
                <w:lang w:val="en-US" w:eastAsia="zh-CN" w:bidi="ar-SA"/>
              </w:rPr>
              <w:t>其中〖A份额〗、〖B份额〗、〖C份额〗、〖D份额〗、〖G份额〗、〖H份额〗、〖J份额〗、〖K份额〗、〖L份额〗、〖M份额〗、〖P份额〗、〖V份额〗对应份额每日计提销售服务费；〖N份额〗、〖R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〖G份额〗收取年化〖0.01%〗的固定管理费, 〖H份额〗收取年化〖0.05%〗的固定管理费, 〖J份额〗收取年化〖0.05%〗的固定管理费, 〖K份额〗收取年化〖0.05%〗的固定管理费, 〖L份额〗收取年化〖0.05%〗的固定管理费, 〖M份额〗收取年化〖0.05%〗的固定管理费, 〖N份额〗收取年化〖0.05%〗的固定管理费, 〖P份额〗收取年化〖0.01%〗的固定管理费, 〖R份额〗收取年化〖0.05%〗的固定管理费, 〖V份额〗收取年化〖0.05%〗的固定管理费, 〖W份额〗收取年化〖0.05%〗的固定管理费,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8"/>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0"/>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0"/>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1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3"/>
        <w:adjustRightInd/>
        <w:spacing w:line="360" w:lineRule="auto"/>
        <w:ind w:firstLine="456" w:firstLineChars="190"/>
        <w:rPr>
          <w:rFonts w:ascii="宋体" w:hAnsi="宋体" w:cs="宋体"/>
          <w:bCs/>
          <w:color w:val="auto"/>
          <w:kern w:val="2"/>
          <w:highlight w:val="none"/>
        </w:rPr>
      </w:pPr>
      <w:r>
        <w:rPr>
          <w:rFonts w:hint="eastAsia" w:ascii="宋体" w:hAnsi="宋体" w:cs="宋体"/>
          <w:bCs/>
          <w:color w:val="auto"/>
          <w:kern w:val="2"/>
          <w:highlight w:val="none"/>
        </w:rPr>
        <w:t>本理财计划可以投资不存在活跃交易市场并且需要采用估值技术确定公允价值的资产，上述资产比例可以达到50%以上。</w:t>
      </w:r>
    </w:p>
    <w:p>
      <w:pPr>
        <w:numPr>
          <w:ilvl w:val="0"/>
          <w:numId w:val="1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3"/>
        <w:numPr>
          <w:ilvl w:val="0"/>
          <w:numId w:val="21"/>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2"/>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2"/>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1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1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8"/>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3"/>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1"/>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1"/>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1"/>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3"/>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2"/>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3"/>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3"/>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G份额〗、〖H份额〗、〖J份额〗、〖K份额〗、〖L份额〗、〖M份额〗、〖P份额〗、〖V份额〗和销售服务费于产品成立日一次性收取的〖N份额〗、〖R份额〗、〖W份额〗、〖Y份额〗、〖Z份额〗。A份额的年化销售服务费率为〖0.30%〗, B份额的年化销售服务费率为〖0.20%〗, C份额的年化销售服务费率为〖0.10%〗, D份额的年化销售服务费率为〖0.15%〗, G份额的年化销售服务费率为〖0.01%〗, H份额的年化销售服务费率为〖0.20%〗, J份额的年化销售服务费率为〖0.05%〗, K份额的年化销售服务费率为〖0.30%〗, L份额的年化销售服务费率为〖0.10%〗, M份额的年化销售服务费率为〖0.10%〗, N份额的年化销售服务费率为〖0.20%〗, P份额的年化销售服务费率为〖0.15%〗, R份额的年化销售服务费率为〖0.15%〗, V份额的年化销售服务费率为〖0.10%〗, W份额的年化销售服务费率为〖0.30%〗,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G份额的年化固定管理费率为〖0.01%〗, H份额的年化固定管理费率为〖0.05%〗, J份额的年化固定管理费率为〖0.05%〗, K份额的年化固定管理费率为〖0.05%〗, L份额的年化固定管理费率为〖0.05%〗, M份额的年化固定管理费率为〖0.05%〗, N份额的年化固定管理费率为〖0.05%〗, P份额的年化固定管理费率为〖0.01%〗, R份额的年化固定管理费率为〖0.05%〗, V份额的年化固定管理费率为〖0.05%〗, W份额的年化固定管理费率为〖0.05%〗,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H为产品到期（提前终止）时应收取浮动管理费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NAV0为产品成立日单位净值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NAV1为产品到期日未扣除浮动管理费前的单位净值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N为产品实际理财天数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T为产品运作期间每单位份额的实际分红金额合计（如有）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R为产品业绩比较基准上限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S为产品业绩比较基准下限</w:t>
      </w:r>
    </w:p>
    <w:p>
      <w:pPr>
        <w:numPr>
          <w:ilvl w:val="0"/>
          <w:numId w:val="34"/>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7"/>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7"/>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7"/>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39"/>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0元，折算份额为100,000.00份，假设理财期限为362天,</w:t>
      </w:r>
      <w:r>
        <w:rPr>
          <w:rFonts w:hint="eastAsia" w:ascii="宋体" w:hAnsi="宋体" w:cs="宋体"/>
          <w:bCs/>
          <w:color w:val="000000"/>
          <w:sz w:val="24"/>
          <w:highlight w:val="none"/>
          <w:lang w:val="en-US" w:eastAsia="zh-CN"/>
        </w:rPr>
        <w:t>业绩比较基准为4.0%-5.0%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4,165.48（元），理财计划到期时，投资者获得的实际收益相当于达到年化收益率水平为：4,165.48/100,000.00×365/362=</w:t>
      </w:r>
      <w:r>
        <w:rPr>
          <w:rFonts w:hint="eastAsia" w:ascii="宋体" w:hAnsi="宋体" w:cs="宋体"/>
          <w:bCs/>
          <w:color w:val="000000"/>
          <w:sz w:val="24"/>
          <w:highlight w:val="none"/>
          <w:lang w:val="en-US" w:eastAsia="zh-CN"/>
        </w:rPr>
        <w:t>4.20</w:t>
      </w:r>
      <w:r>
        <w:rPr>
          <w:rFonts w:hint="eastAsia" w:ascii="宋体" w:hAnsi="宋体" w:cs="宋体"/>
          <w:bCs/>
          <w:color w:val="000000"/>
          <w:sz w:val="24"/>
          <w:highlight w:val="none"/>
        </w:rPr>
        <w:t>%。</w:t>
      </w:r>
    </w:p>
    <w:p>
      <w:pPr>
        <w:numPr>
          <w:ilvl w:val="0"/>
          <w:numId w:val="39"/>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0元，折算份额为100,000.00份,假设理财期限为362天,</w:t>
      </w:r>
      <w:r>
        <w:rPr>
          <w:rFonts w:hint="eastAsia" w:ascii="宋体" w:hAnsi="宋体" w:cs="宋体"/>
          <w:bCs/>
          <w:color w:val="000000"/>
          <w:sz w:val="24"/>
          <w:highlight w:val="none"/>
          <w:lang w:val="en-US" w:eastAsia="zh-CN"/>
        </w:rPr>
        <w:t>业绩比较基准为4.0%-5.0%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=4003.70（元），理财计划到期时，投资者获得的实际收益相当于达到年化收益率水平为：4003.70/100,000.00×365/362=4.04%。</w:t>
      </w:r>
    </w:p>
    <w:p>
      <w:pPr>
        <w:numPr>
          <w:ilvl w:val="0"/>
          <w:numId w:val="39"/>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元，折算份额为100,000.00份，假设理财期限为362天,</w:t>
      </w:r>
      <w:r>
        <w:rPr>
          <w:rFonts w:hint="eastAsia" w:ascii="宋体" w:hAnsi="宋体" w:cs="宋体"/>
          <w:bCs/>
          <w:color w:val="000000"/>
          <w:sz w:val="24"/>
          <w:highlight w:val="none"/>
          <w:lang w:val="en-US" w:eastAsia="zh-CN"/>
        </w:rPr>
        <w:t>业绩比较基准为4.0%-5.0%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39"/>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以某投资者投资10万元为例，假设购买时理财计划净值为1.00元，折算份额为100,000.00份，假设理财期限为362天,</w:t>
      </w:r>
      <w:r>
        <w:rPr>
          <w:rFonts w:hint="eastAsia" w:ascii="宋体" w:hAnsi="宋体" w:cs="宋体"/>
          <w:bCs/>
          <w:color w:val="000000"/>
          <w:sz w:val="24"/>
          <w:highlight w:val="none"/>
          <w:lang w:val="en-US" w:eastAsia="zh-CN"/>
        </w:rPr>
        <w:t>业绩比较基准为4.0%-5.0%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1"/>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1"/>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1"/>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2"/>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Cs w:val="21"/>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6"/>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7"/>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6"/>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8"/>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8"/>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6"/>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6"/>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0"/>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销售机构或管理人所在地有管辖权的人民法院诉讼解决。</w:t>
      </w:r>
    </w:p>
    <w:p>
      <w:pPr>
        <w:numPr>
          <w:ilvl w:val="0"/>
          <w:numId w:val="5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（202201版）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1"/>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如销售机构对于机构投资者的风险承受能力评估有要求的，则参照销售机构相关评估标准或代理销售协议书执行。</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2"/>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3"/>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3"/>
        <w:adjustRightInd/>
        <w:spacing w:line="360" w:lineRule="auto"/>
        <w:ind w:firstLine="480" w:firstLineChars="200"/>
        <w:rPr>
          <w:rFonts w:ascii="宋体" w:hAnsi="宋体" w:cs="宋体"/>
          <w:b/>
          <w:highlight w:val="none"/>
        </w:rPr>
      </w:pPr>
      <w:r>
        <w:rPr>
          <w:rFonts w:hint="eastAsia" w:ascii="宋体" w:hAnsi="宋体" w:cs="宋体"/>
          <w:bCs/>
          <w:color w:val="auto"/>
          <w:kern w:val="2"/>
          <w:highlight w:val="none"/>
        </w:rPr>
        <w:t>投资者风险承受能力评级水平以销售机构评估为准。</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5"/>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5"/>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5"/>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6"/>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在杭州银行（作为销售机构）购买本理财计划的请联系杭州银行，杭州银行客户服务热线：95398、4008888508，杭州银行官方网站：www.hzbank.com.cn。</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在其他销售机构购买理财计划的，请联系其他销售机构，联系方式以其披露为准。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59"/>
        </w:numPr>
        <w:spacing w:line="360" w:lineRule="auto"/>
        <w:rPr>
          <w:rFonts w:hint="eastAsia" w:ascii="宋体" w:hAnsi="宋体" w:cs="宋体"/>
          <w:kern w:val="0"/>
          <w:sz w:val="24"/>
          <w:highlight w:val="none"/>
        </w:rPr>
      </w:pPr>
      <w:r>
        <w:rPr>
          <w:rFonts w:hint="eastAsia" w:ascii="宋体" w:hAnsi="宋体" w:cs="宋体"/>
          <w:kern w:val="0"/>
          <w:sz w:val="24"/>
          <w:highlight w:val="none"/>
        </w:rPr>
        <w:t>杭银理财联络方式：</w:t>
      </w:r>
    </w:p>
    <w:p>
      <w:pPr>
        <w:spacing w:line="360" w:lineRule="auto"/>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官方网站：</w:t>
      </w:r>
      <w:r>
        <w:fldChar w:fldCharType="begin"/>
      </w:r>
      <w:r>
        <w:rPr>
          <w:rFonts w:ascii="宋体" w:hAnsi="宋体" w:cs="宋体"/>
          <w:kern w:val="0"/>
          <w:sz w:val="24"/>
          <w:highlight w:val="none"/>
        </w:rPr>
        <w:instrText xml:space="preserve"> HYPERLINK "https://www.hzbankwealth.com.cn/" \t "_blank" </w:instrText>
      </w:r>
      <w:r>
        <w:fldChar w:fldCharType="separate"/>
      </w:r>
      <w:r>
        <w:rPr>
          <w:rFonts w:ascii="宋体" w:hAnsi="宋体" w:cs="宋体"/>
          <w:kern w:val="0"/>
          <w:sz w:val="24"/>
          <w:highlight w:val="none"/>
        </w:rPr>
        <w:t>https://www.hzbankwealth.com.cn</w:t>
      </w:r>
      <w:r>
        <w:fldChar w:fldCharType="end"/>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客户服务热线：400-8950-999</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公司地址：杭州市拱墅区庆春路38号金龙财富中心6楼</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若上述联系方式变更，杭银理财将提前通过官方网站及时告知投资者。</w:t>
      </w:r>
    </w:p>
    <w:p>
      <w:pPr>
        <w:numPr>
          <w:ilvl w:val="0"/>
          <w:numId w:val="59"/>
        </w:numPr>
        <w:spacing w:line="360" w:lineRule="auto"/>
        <w:rPr>
          <w:rFonts w:hint="eastAsia" w:ascii="宋体" w:hAnsi="宋体" w:cs="宋体"/>
          <w:kern w:val="0"/>
          <w:sz w:val="24"/>
          <w:highlight w:val="none"/>
        </w:rPr>
      </w:pPr>
      <w:r>
        <w:rPr>
          <w:rFonts w:hint="eastAsia" w:ascii="宋体" w:hAnsi="宋体" w:cs="宋体"/>
          <w:kern w:val="0"/>
          <w:sz w:val="24"/>
          <w:highlight w:val="none"/>
        </w:rPr>
        <w:t>杭州银行（作为销售机构）联络方式：</w:t>
      </w:r>
    </w:p>
    <w:p>
      <w:pPr>
        <w:spacing w:line="360" w:lineRule="auto"/>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 xml:space="preserve">官方网站: </w:t>
      </w:r>
      <w:r>
        <w:fldChar w:fldCharType="begin"/>
      </w:r>
      <w:r>
        <w:rPr>
          <w:rStyle w:val="11"/>
          <w:rFonts w:hint="eastAsia" w:ascii="宋体" w:hAnsi="宋体" w:cs="宋体"/>
          <w:kern w:val="0"/>
          <w:sz w:val="24"/>
          <w:highlight w:val="none"/>
        </w:rPr>
        <w:instrText xml:space="preserve"> HYPERLINK "http://www.hzbankwealth.cn" </w:instrText>
      </w:r>
      <w:r>
        <w:fldChar w:fldCharType="separate"/>
      </w:r>
      <w:r>
        <w:rPr>
          <w:rStyle w:val="11"/>
          <w:rFonts w:hint="eastAsia" w:ascii="宋体" w:hAnsi="宋体" w:cs="宋体"/>
          <w:kern w:val="0"/>
          <w:sz w:val="24"/>
          <w:highlight w:val="none"/>
        </w:rPr>
        <w:t>www.hzbank.com.cn</w:t>
      </w:r>
      <w:r>
        <w:fldChar w:fldCharType="end"/>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客户服务热线：95398、4008888508</w:t>
      </w:r>
    </w:p>
    <w:p>
      <w:pPr>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在其他销售机构购买理财计划的，请联系其他销售机构，联系方式以其披露为准。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（202201版）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0"/>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1"/>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2"/>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3"/>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0"/>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的法律和行政法规。本合同项下的及与之有关的一切争议，投资者与管理人双方应首先协商解决，协商不成的，应提交销售机构或管理人所在地人民法院司法裁决。诉讼期间，未涉及争议的条款仍需继续履行。</w:t>
      </w:r>
    </w:p>
    <w:p>
      <w:pPr>
        <w:spacing w:line="360" w:lineRule="auto"/>
        <w:ind w:left="482"/>
        <w:rPr>
          <w:b/>
          <w:sz w:val="24"/>
          <w:highlight w:val="none"/>
        </w:rPr>
      </w:pPr>
    </w:p>
    <w:p>
      <w:pPr>
        <w:numPr>
          <w:ilvl w:val="0"/>
          <w:numId w:val="60"/>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本协议书以纸质书面形式订立的，自投资者签署（如投资者为个人，应签字；如投资者为机构，应法定代表人或授权代理人签字或盖章并加盖公章或有效授权印章）并经管理人系统确认购买理财计划份额之后立即生效。协议一式贰份，投资者和管理人双方各执壹份，具有同等法律效力。 </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0"/>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b/>
          <w:sz w:val="44"/>
          <w:szCs w:val="44"/>
          <w:highlight w:val="none"/>
        </w:rPr>
      </w:pPr>
      <w:r>
        <w:rPr>
          <w:rFonts w:hint="eastAsia" w:ascii="宋体" w:hAnsi="宋体" w:cs="宋体"/>
          <w:kern w:val="0"/>
          <w:highlight w:val="none"/>
        </w:rPr>
        <w:t>杭银理财有限责任公司</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br w:type="page"/>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本页为纸质形式（如有）投资协议书签章页</w:t>
      </w:r>
    </w:p>
    <w:p>
      <w:pPr>
        <w:spacing w:line="360" w:lineRule="auto"/>
        <w:rPr>
          <w:rFonts w:hint="eastAsia" w:ascii="宋体" w:hAnsi="宋体" w:cs="宋体"/>
          <w:bCs/>
          <w:color w:val="000000"/>
          <w:sz w:val="24"/>
          <w:highlight w:val="none"/>
        </w:rPr>
      </w:pPr>
    </w:p>
    <w:p>
      <w:pPr>
        <w:spacing w:line="360" w:lineRule="auto"/>
        <w:rPr>
          <w:rFonts w:hint="eastAsia" w:ascii="宋体" w:hAnsi="宋体" w:cs="宋体"/>
          <w:bCs/>
          <w:color w:val="000000"/>
          <w:sz w:val="24"/>
          <w:highlight w:val="none"/>
        </w:rPr>
      </w:pPr>
    </w:p>
    <w:p>
      <w:pPr>
        <w:spacing w:line="360" w:lineRule="auto"/>
        <w:rPr>
          <w:rFonts w:hint="eastAsia" w:ascii="宋体" w:hAnsi="宋体" w:cs="宋体"/>
          <w:bCs/>
          <w:color w:val="000000"/>
          <w:sz w:val="24"/>
          <w:highlight w:val="none"/>
        </w:rPr>
      </w:pPr>
    </w:p>
    <w:p>
      <w:pPr>
        <w:spacing w:line="360" w:lineRule="auto"/>
        <w:rPr>
          <w:rFonts w:hint="eastAsia" w:ascii="宋体" w:hAnsi="宋体" w:cs="宋体"/>
          <w:bCs/>
          <w:color w:val="000000"/>
          <w:sz w:val="24"/>
          <w:highlight w:val="none"/>
        </w:rPr>
      </w:pPr>
    </w:p>
    <w:p>
      <w:pPr>
        <w:spacing w:line="360" w:lineRule="auto"/>
        <w:rPr>
          <w:rFonts w:hint="eastAsia" w:ascii="宋体" w:hAnsi="宋体" w:cs="宋体"/>
          <w:bCs/>
          <w:color w:val="000000"/>
          <w:sz w:val="24"/>
          <w:highlight w:val="none"/>
        </w:rPr>
      </w:pPr>
    </w:p>
    <w:p>
      <w:pPr>
        <w:spacing w:line="360" w:lineRule="auto"/>
        <w:rPr>
          <w:rFonts w:hint="eastAsia" w:ascii="宋体" w:hAnsi="宋体" w:cs="宋体"/>
          <w:b/>
          <w:bCs w:val="0"/>
          <w:color w:val="000000"/>
          <w:sz w:val="24"/>
          <w:highlight w:val="none"/>
        </w:rPr>
      </w:pPr>
      <w:r>
        <w:rPr>
          <w:rFonts w:hint="eastAsia" w:ascii="宋体" w:hAnsi="宋体" w:cs="宋体"/>
          <w:b/>
          <w:bCs w:val="0"/>
          <w:color w:val="000000"/>
          <w:sz w:val="24"/>
          <w:highlight w:val="none"/>
        </w:rPr>
        <w:t>投资者（签字或签章）：</w:t>
      </w:r>
    </w:p>
    <w:p>
      <w:pPr>
        <w:spacing w:line="360" w:lineRule="auto"/>
        <w:rPr>
          <w:rFonts w:hint="eastAsia" w:ascii="宋体" w:hAnsi="宋体" w:cs="宋体"/>
          <w:b/>
          <w:bCs w:val="0"/>
          <w:color w:val="000000"/>
          <w:sz w:val="24"/>
          <w:highlight w:val="none"/>
        </w:rPr>
      </w:pPr>
    </w:p>
    <w:p>
      <w:pPr>
        <w:spacing w:line="360" w:lineRule="auto"/>
        <w:rPr>
          <w:rFonts w:hint="eastAsia" w:ascii="宋体" w:hAnsi="宋体" w:cs="宋体"/>
          <w:b/>
          <w:bCs w:val="0"/>
          <w:color w:val="000000"/>
          <w:sz w:val="24"/>
          <w:highlight w:val="none"/>
        </w:rPr>
      </w:pPr>
    </w:p>
    <w:p>
      <w:pPr>
        <w:spacing w:line="360" w:lineRule="auto"/>
        <w:rPr>
          <w:rFonts w:hint="eastAsia" w:ascii="宋体" w:hAnsi="宋体" w:cs="宋体"/>
          <w:b/>
          <w:bCs w:val="0"/>
          <w:color w:val="000000"/>
          <w:sz w:val="24"/>
          <w:highlight w:val="none"/>
        </w:rPr>
      </w:pPr>
    </w:p>
    <w:p>
      <w:pPr>
        <w:spacing w:line="360" w:lineRule="auto"/>
        <w:jc w:val="right"/>
        <w:rPr>
          <w:rFonts w:hint="eastAsia" w:ascii="宋体" w:hAnsi="宋体" w:cs="宋体"/>
          <w:bCs/>
          <w:color w:val="000000"/>
          <w:sz w:val="24"/>
          <w:highlight w:val="none"/>
        </w:rPr>
      </w:pPr>
    </w:p>
    <w:p>
      <w:pPr>
        <w:jc w:val="right"/>
        <w:outlineLvl w:val="9"/>
        <w:rPr>
          <w:rFonts w:hint="eastAsia" w:ascii="Arial" w:hAnsi="Arial" w:eastAsia="宋体" w:cs="黑体"/>
          <w:bCs w:val="0"/>
          <w:sz w:val="24"/>
          <w:highlight w:val="none"/>
        </w:rPr>
      </w:pPr>
      <w:r>
        <w:rPr>
          <w:rFonts w:hint="eastAsia" w:ascii="宋体" w:hAnsi="宋体" w:cs="宋体"/>
          <w:bCs/>
          <w:color w:val="000000"/>
          <w:sz w:val="24"/>
          <w:highlight w:val="none"/>
        </w:rPr>
        <w:t xml:space="preserve">                                        </w:t>
      </w:r>
      <w:r>
        <w:rPr>
          <w:rFonts w:hint="eastAsia" w:ascii="Arial" w:hAnsi="Arial" w:eastAsia="宋体" w:cs="黑体"/>
          <w:bCs w:val="0"/>
          <w:sz w:val="24"/>
          <w:highlight w:val="none"/>
        </w:rPr>
        <w:t>年   月   日</w:t>
      </w:r>
    </w:p>
    <w:p>
      <w:pPr>
        <w:jc w:val="center"/>
        <w:outlineLvl w:val="0"/>
        <w:rPr>
          <w:rFonts w:hint="eastAsia"/>
          <w:b/>
          <w:sz w:val="44"/>
          <w:szCs w:val="44"/>
          <w:highlight w:val="none"/>
        </w:rPr>
      </w:pPr>
      <w:r>
        <w:rPr>
          <w:rFonts w:hint="eastAsia" w:ascii="宋体" w:hAnsi="宋体" w:cs="宋体"/>
          <w:bCs/>
          <w:color w:val="000000"/>
          <w:sz w:val="24"/>
          <w:highlight w:val="none"/>
        </w:rPr>
        <w:br w:type="page"/>
      </w:r>
      <w:r>
        <w:rPr>
          <w:rFonts w:hint="eastAsia"/>
          <w:b/>
          <w:sz w:val="44"/>
          <w:szCs w:val="44"/>
          <w:highlight w:val="none"/>
        </w:rPr>
        <w:t>杭银理财理财计划销售协议书</w:t>
      </w:r>
    </w:p>
    <w:p>
      <w:pPr>
        <w:jc w:val="center"/>
        <w:rPr>
          <w:rFonts w:hint="eastAsia" w:ascii="宋体" w:hAnsi="宋体" w:cs="宋体"/>
          <w:sz w:val="28"/>
          <w:szCs w:val="28"/>
          <w:highlight w:val="none"/>
        </w:rPr>
      </w:pPr>
      <w:r>
        <w:rPr>
          <w:rFonts w:hint="eastAsia" w:ascii="宋体" w:hAnsi="宋体" w:cs="宋体"/>
          <w:sz w:val="28"/>
          <w:szCs w:val="28"/>
          <w:highlight w:val="none"/>
        </w:rPr>
        <w:t>（202201版）</w:t>
      </w:r>
    </w:p>
    <w:p>
      <w:pPr>
        <w:spacing w:line="360" w:lineRule="auto"/>
        <w:jc w:val="center"/>
        <w:rPr>
          <w:sz w:val="32"/>
          <w:szCs w:val="40"/>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特别提示：《杭银理财理财计划销售协议书</w:t>
      </w:r>
      <w:r>
        <w:rPr>
          <w:rFonts w:hint="eastAsia" w:ascii="宋体" w:hAnsi="宋体" w:cs="宋体"/>
          <w:b/>
          <w:bCs/>
          <w:sz w:val="24"/>
          <w:highlight w:val="none"/>
        </w:rPr>
        <w:t>（202201</w:t>
      </w:r>
      <w:r>
        <w:rPr>
          <w:rFonts w:hint="eastAsia"/>
          <w:b/>
          <w:bCs/>
          <w:sz w:val="24"/>
          <w:highlight w:val="none"/>
        </w:rPr>
        <w:t>版）》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sz w:val="24"/>
          <w:highlight w:val="none"/>
        </w:rPr>
      </w:pPr>
      <w:r>
        <w:rPr>
          <w:rFonts w:hint="eastAsia"/>
          <w:b/>
          <w:bCs/>
          <w:sz w:val="24"/>
          <w:highlight w:val="none"/>
        </w:rPr>
        <w:t>理财非存款、产品有风险、投资须谨慎，理财计划过往业绩不代表其未来表现，不等于理财计划实际收益。</w:t>
      </w:r>
    </w:p>
    <w:p>
      <w:pPr>
        <w:widowControl/>
        <w:spacing w:line="360" w:lineRule="auto"/>
        <w:ind w:firstLine="480" w:firstLineChars="200"/>
        <w:rPr>
          <w:rFonts w:hint="eastAsia"/>
          <w:sz w:val="24"/>
          <w:highlight w:val="none"/>
        </w:rPr>
      </w:pPr>
      <w:r>
        <w:rPr>
          <w:rFonts w:hint="eastAsia"/>
          <w:sz w:val="24"/>
          <w:highlight w:val="none"/>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pPr>
        <w:widowControl/>
        <w:spacing w:line="360" w:lineRule="auto"/>
        <w:ind w:firstLine="480" w:firstLineChars="200"/>
        <w:rPr>
          <w:rFonts w:hint="eastAsia"/>
          <w:sz w:val="24"/>
          <w:highlight w:val="none"/>
        </w:rPr>
      </w:pPr>
      <w:r>
        <w:rPr>
          <w:rFonts w:hint="eastAsia"/>
          <w:sz w:val="24"/>
          <w:highlight w:val="none"/>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sz w:val="24"/>
          <w:highlight w:val="none"/>
        </w:rPr>
      </w:pPr>
    </w:p>
    <w:p>
      <w:pPr>
        <w:widowControl/>
        <w:spacing w:line="360" w:lineRule="auto"/>
        <w:ind w:firstLine="482" w:firstLineChars="200"/>
        <w:outlineLvl w:val="1"/>
        <w:rPr>
          <w:rFonts w:hint="eastAsia"/>
          <w:b/>
          <w:bCs/>
          <w:sz w:val="24"/>
          <w:highlight w:val="none"/>
        </w:rPr>
      </w:pPr>
      <w:r>
        <w:rPr>
          <w:rFonts w:hint="eastAsia"/>
          <w:b/>
          <w:bCs/>
          <w:sz w:val="24"/>
          <w:highlight w:val="none"/>
        </w:rPr>
        <w:t>第一条 名词释义</w:t>
      </w:r>
    </w:p>
    <w:p>
      <w:pPr>
        <w:widowControl/>
        <w:spacing w:line="360" w:lineRule="auto"/>
        <w:ind w:firstLine="480" w:firstLineChars="200"/>
        <w:jc w:val="left"/>
        <w:rPr>
          <w:rFonts w:hint="eastAsia"/>
          <w:bCs/>
          <w:sz w:val="24"/>
          <w:highlight w:val="none"/>
        </w:rPr>
      </w:pPr>
      <w:r>
        <w:rPr>
          <w:rFonts w:hint="eastAsia"/>
          <w:bCs/>
          <w:sz w:val="24"/>
          <w:highlight w:val="none"/>
        </w:rPr>
        <w:t>详见对应期次的理财计划产品说明书“释义”部分。</w:t>
      </w:r>
    </w:p>
    <w:p>
      <w:pPr>
        <w:widowControl/>
        <w:spacing w:line="360" w:lineRule="auto"/>
        <w:ind w:firstLine="480" w:firstLineChars="200"/>
        <w:jc w:val="left"/>
        <w:rPr>
          <w:rFonts w:hint="eastAsia"/>
          <w:bCs/>
          <w:sz w:val="24"/>
          <w:highlight w:val="none"/>
        </w:rPr>
      </w:pPr>
    </w:p>
    <w:p>
      <w:pPr>
        <w:widowControl/>
        <w:spacing w:line="360" w:lineRule="auto"/>
        <w:ind w:firstLine="482" w:firstLineChars="200"/>
        <w:jc w:val="left"/>
        <w:outlineLvl w:val="1"/>
        <w:rPr>
          <w:rFonts w:hint="eastAsia"/>
          <w:b/>
          <w:bCs/>
          <w:sz w:val="24"/>
          <w:highlight w:val="none"/>
        </w:rPr>
      </w:pPr>
      <w:r>
        <w:rPr>
          <w:rFonts w:hint="eastAsia"/>
          <w:b/>
          <w:bCs/>
          <w:sz w:val="24"/>
          <w:highlight w:val="none"/>
        </w:rPr>
        <w:t>第二条 投资者权利与义务</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b/>
          <w:bCs/>
          <w:sz w:val="24"/>
          <w:highlight w:val="none"/>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sz w:val="24"/>
          <w:highlight w:val="none"/>
        </w:rPr>
        <w:t>投资冷静期相关约定详见理财计划产品说明书。</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b/>
          <w:bCs/>
          <w:sz w:val="24"/>
          <w:highlight w:val="none"/>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sz w:val="24"/>
          <w:highlight w:val="none"/>
        </w:rPr>
        <w:t>。</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销售机构对此不承担任何责任。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在本理财计划存续期内，如有权机关要求销售机构配合对投资者理财份额、理财账户、授权指定账户进行查封、冻结或扣划的，销售机构有权根据实际情况采取相应措施。销售机构对上述后果不承担任何责任。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本协议终止前，投资者不得将授权指定账户销户。若发生因投资者注销授权指定账户造成理财计划无法正常兑付的，销售机构不承担任何责任。</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投资者对本协议及其条款负有保密义务，未经销售机构书面许可，不得向任何组织、个人提供或泄露与销售机构有关的业务资料及信息，但法律、法规另有规定的除外。</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widowControl/>
        <w:numPr>
          <w:ilvl w:val="0"/>
          <w:numId w:val="67"/>
        </w:numPr>
        <w:spacing w:line="360" w:lineRule="auto"/>
        <w:contextualSpacing/>
        <w:outlineLvl w:val="2"/>
        <w:rPr>
          <w:rFonts w:hint="eastAsia" w:ascii="宋体" w:hAnsi="宋体"/>
          <w:b/>
          <w:bCs/>
          <w:sz w:val="24"/>
          <w:highlight w:val="none"/>
        </w:rPr>
      </w:pPr>
      <w:r>
        <w:rPr>
          <w:rFonts w:hint="eastAsia" w:ascii="宋体" w:hAnsi="宋体"/>
          <w:b/>
          <w:bCs/>
          <w:sz w:val="24"/>
          <w:highlight w:val="none"/>
        </w:rPr>
        <w:t>投资者个人信息授权</w:t>
      </w:r>
    </w:p>
    <w:p>
      <w:pPr>
        <w:widowControl/>
        <w:spacing w:line="360" w:lineRule="auto"/>
        <w:ind w:firstLine="482" w:firstLineChars="200"/>
        <w:contextualSpacing/>
        <w:rPr>
          <w:rFonts w:hint="eastAsia" w:ascii="宋体" w:hAnsi="宋体"/>
          <w:b/>
          <w:bCs/>
          <w:sz w:val="24"/>
          <w:highlight w:val="none"/>
        </w:rPr>
      </w:pPr>
      <w:r>
        <w:rPr>
          <w:rFonts w:hint="eastAsia" w:ascii="宋体" w:hAnsi="宋体"/>
          <w:b/>
          <w:bCs/>
          <w:sz w:val="24"/>
          <w:highlight w:val="none"/>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7"/>
        </w:numPr>
        <w:spacing w:line="360" w:lineRule="auto"/>
        <w:contextualSpacing/>
        <w:outlineLvl w:val="2"/>
        <w:rPr>
          <w:rFonts w:hint="eastAsia" w:ascii="宋体" w:hAnsi="宋体"/>
          <w:b/>
          <w:bCs/>
          <w:sz w:val="24"/>
          <w:highlight w:val="none"/>
        </w:rPr>
      </w:pPr>
      <w:r>
        <w:rPr>
          <w:rFonts w:hint="eastAsia" w:ascii="宋体" w:hAnsi="宋体"/>
          <w:b/>
          <w:bCs/>
          <w:sz w:val="24"/>
          <w:highlight w:val="none"/>
        </w:rPr>
        <w:t>投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sz w:val="24"/>
          <w:highlight w:val="none"/>
        </w:rPr>
      </w:pPr>
    </w:p>
    <w:p>
      <w:pPr>
        <w:widowControl/>
        <w:spacing w:line="360" w:lineRule="auto"/>
        <w:ind w:firstLine="482" w:firstLineChars="200"/>
        <w:outlineLvl w:val="1"/>
        <w:rPr>
          <w:rFonts w:hint="eastAsia"/>
          <w:b/>
          <w:bCs/>
          <w:sz w:val="24"/>
          <w:highlight w:val="none"/>
        </w:rPr>
      </w:pPr>
      <w:r>
        <w:rPr>
          <w:rFonts w:hint="eastAsia"/>
          <w:b/>
          <w:bCs/>
          <w:sz w:val="24"/>
          <w:highlight w:val="none"/>
        </w:rPr>
        <w:t>第三条 销售机构的权利与义务</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b/>
          <w:bCs/>
          <w:sz w:val="24"/>
          <w:highlight w:val="none"/>
        </w:rPr>
        <w:t>代理销售机构非本计划的发行、管理机构，对本计划的业绩不承担任何保证和其他经济责任，不承担本计划的投资、兑付和风险管理责任</w:t>
      </w:r>
      <w:r>
        <w:rPr>
          <w:rFonts w:hint="eastAsia" w:ascii="宋体" w:hAnsi="宋体"/>
          <w:sz w:val="24"/>
          <w:highlight w:val="none"/>
        </w:rPr>
        <w:t>。</w:t>
      </w:r>
    </w:p>
    <w:p>
      <w:pPr>
        <w:widowControl/>
        <w:numPr>
          <w:ilvl w:val="0"/>
          <w:numId w:val="68"/>
        </w:numPr>
        <w:spacing w:line="360" w:lineRule="auto"/>
        <w:contextualSpacing/>
        <w:outlineLvl w:val="2"/>
        <w:rPr>
          <w:rFonts w:hint="eastAsia" w:ascii="宋体" w:hAnsi="宋体"/>
          <w:sz w:val="24"/>
          <w:highlight w:val="none"/>
        </w:rPr>
      </w:pPr>
      <w:r>
        <w:rPr>
          <w:rFonts w:hint="eastAsia" w:ascii="宋体" w:hAnsi="宋体"/>
          <w:sz w:val="24"/>
          <w:highlight w:val="none"/>
        </w:rPr>
        <w:t>销售机构应定期对购买其代理销售的理财计划的非机构投资者进行有效风险承受能力评估，并保证向投资者推介及销售与其风险承受能力匹配的产品。</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68"/>
        </w:numPr>
        <w:spacing w:line="360" w:lineRule="auto"/>
        <w:contextualSpacing/>
        <w:outlineLvl w:val="2"/>
        <w:rPr>
          <w:rFonts w:hint="eastAsia" w:ascii="宋体" w:hAnsi="宋体"/>
          <w:sz w:val="24"/>
          <w:highlight w:val="none"/>
        </w:rPr>
      </w:pPr>
      <w:r>
        <w:rPr>
          <w:rFonts w:hint="eastAsia" w:ascii="宋体" w:hAnsi="宋体"/>
          <w:sz w:val="24"/>
          <w:highlight w:val="none"/>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销售机构应建立健全上岗资格、持续培训、信息公示与查询核实等制度并有效执行。未经销售机构进行上岗资格认定并签订劳动合同，任何人员不得从事理财计划销售业务活动。</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销售机构对投资者负有信息保密义务，未经投资者书面许可，乙方不得向任何组织、个人提供或泄露与甲方有关的业务资料及信息，但法律、法规另有规定的除外。</w:t>
      </w:r>
    </w:p>
    <w:p>
      <w:pPr>
        <w:widowControl/>
        <w:numPr>
          <w:ilvl w:val="0"/>
          <w:numId w:val="68"/>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销售机构应按照法律法规、监管规定、理财计划合同的约定收取销售费用，并如实核算、记账。未经载明，不得对不同投资者适用不同费率。</w:t>
      </w:r>
    </w:p>
    <w:p>
      <w:pPr>
        <w:widowControl/>
        <w:numPr>
          <w:ilvl w:val="0"/>
          <w:numId w:val="62"/>
        </w:numPr>
        <w:spacing w:line="360" w:lineRule="auto"/>
        <w:contextualSpacing/>
        <w:jc w:val="left"/>
        <w:outlineLvl w:val="2"/>
        <w:rPr>
          <w:rFonts w:hint="eastAsia" w:ascii="宋体" w:hAnsi="宋体"/>
          <w:sz w:val="24"/>
          <w:highlight w:val="none"/>
        </w:rPr>
      </w:pPr>
      <w:r>
        <w:rPr>
          <w:rFonts w:hint="eastAsia" w:ascii="宋体" w:hAnsi="宋体"/>
          <w:sz w:val="24"/>
          <w:highlight w:val="none"/>
        </w:rPr>
        <w:t>理财计划销售结算资金属于理财计划投资者，销售机构不得挪用理财计划销售结算资金或将理财计划销售结算资金归入自有资产。</w:t>
      </w:r>
    </w:p>
    <w:p>
      <w:pPr>
        <w:widowControl/>
        <w:numPr>
          <w:ilvl w:val="0"/>
          <w:numId w:val="62"/>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销售机构应遵守相关法律、法规、监管规定及理财计划合同约定，诚实守信、勤勉尽责，向购买理财计划的投资者充分传递管理人披露的产品相关信息并进行充分的风险揭示。</w:t>
      </w:r>
    </w:p>
    <w:p>
      <w:pPr>
        <w:widowControl/>
        <w:numPr>
          <w:ilvl w:val="0"/>
          <w:numId w:val="62"/>
        </w:numPr>
        <w:spacing w:line="360" w:lineRule="auto"/>
        <w:contextualSpacing/>
        <w:jc w:val="left"/>
        <w:outlineLvl w:val="2"/>
        <w:rPr>
          <w:rFonts w:hint="eastAsia" w:ascii="宋体" w:hAnsi="宋体"/>
          <w:sz w:val="24"/>
          <w:highlight w:val="none"/>
        </w:rPr>
      </w:pPr>
      <w:r>
        <w:rPr>
          <w:rFonts w:hint="eastAsia" w:ascii="宋体" w:hAnsi="宋体"/>
          <w:sz w:val="24"/>
          <w:highlight w:val="none"/>
        </w:rPr>
        <w:t>销售机构应当充分利用科技手段，加强对伪冒网站、伪冒产品等监测，有效防范各类欺诈风险。</w:t>
      </w:r>
    </w:p>
    <w:p>
      <w:pPr>
        <w:widowControl/>
        <w:spacing w:line="360" w:lineRule="auto"/>
        <w:ind w:left="482"/>
        <w:contextualSpacing/>
        <w:jc w:val="left"/>
        <w:rPr>
          <w:rFonts w:hint="eastAsia" w:ascii="宋体" w:hAnsi="宋体"/>
          <w:b/>
          <w:bCs/>
          <w:sz w:val="24"/>
          <w:highlight w:val="none"/>
        </w:rPr>
      </w:pPr>
    </w:p>
    <w:p>
      <w:pPr>
        <w:widowControl/>
        <w:spacing w:line="360" w:lineRule="auto"/>
        <w:ind w:firstLine="482" w:firstLineChars="200"/>
        <w:outlineLvl w:val="1"/>
        <w:rPr>
          <w:rFonts w:hint="eastAsia" w:eastAsia="宋体" w:cs="黑体"/>
          <w:b/>
          <w:bCs/>
          <w:sz w:val="24"/>
          <w:highlight w:val="none"/>
        </w:rPr>
      </w:pPr>
      <w:r>
        <w:rPr>
          <w:rFonts w:hint="eastAsia" w:eastAsia="宋体" w:cs="黑体"/>
          <w:b/>
          <w:bCs/>
          <w:sz w:val="24"/>
          <w:highlight w:val="none"/>
        </w:rPr>
        <w:t>第四条 理财计划认（申）购、赎回及终止</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理财计划认/申购确认：管理人根据销售渠道提供的交易信息及资金划付对投资者相应认/申购进行确认。</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销售机构将按对应期次的理财计划产品说明书约定条款向投资者进行公告，并将及时解除对投资者授权指定账户中认购资金的冻结。 </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理财计划赎回/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销售机构将于原约定清算日前通过信息披露途径及时通知，并根据实际情况进行后续处理。</w:t>
      </w:r>
    </w:p>
    <w:p>
      <w:pPr>
        <w:widowControl/>
        <w:numPr>
          <w:ilvl w:val="0"/>
          <w:numId w:val="69"/>
        </w:numPr>
        <w:spacing w:line="360" w:lineRule="auto"/>
        <w:contextualSpacing/>
        <w:outlineLvl w:val="2"/>
        <w:rPr>
          <w:rFonts w:hint="eastAsia" w:ascii="宋体" w:hAnsi="宋体"/>
          <w:sz w:val="24"/>
          <w:highlight w:val="none"/>
        </w:rPr>
      </w:pPr>
      <w:r>
        <w:rPr>
          <w:rFonts w:hint="eastAsia" w:ascii="宋体" w:hAnsi="宋体"/>
          <w:sz w:val="24"/>
          <w:highlight w:val="none"/>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widowControl/>
        <w:spacing w:line="360" w:lineRule="auto"/>
        <w:ind w:left="178" w:leftChars="85"/>
        <w:contextualSpacing/>
        <w:rPr>
          <w:rFonts w:hint="eastAsia" w:ascii="宋体" w:hAnsi="宋体"/>
          <w:b/>
          <w:bCs/>
          <w:sz w:val="24"/>
          <w:highlight w:val="none"/>
        </w:rPr>
      </w:pPr>
    </w:p>
    <w:p>
      <w:pPr>
        <w:widowControl/>
        <w:spacing w:line="360" w:lineRule="auto"/>
        <w:ind w:firstLine="482" w:firstLineChars="200"/>
        <w:outlineLvl w:val="1"/>
        <w:rPr>
          <w:rFonts w:hint="eastAsia"/>
          <w:b/>
          <w:bCs/>
          <w:sz w:val="24"/>
          <w:highlight w:val="none"/>
        </w:rPr>
      </w:pPr>
      <w:r>
        <w:rPr>
          <w:rFonts w:hint="eastAsia"/>
          <w:b/>
          <w:bCs/>
          <w:sz w:val="24"/>
          <w:highlight w:val="none"/>
        </w:rPr>
        <w:t>第五条 违约责任及免责条款</w:t>
      </w:r>
    </w:p>
    <w:p>
      <w:pPr>
        <w:widowControl/>
        <w:numPr>
          <w:ilvl w:val="0"/>
          <w:numId w:val="70"/>
        </w:numPr>
        <w:spacing w:line="360" w:lineRule="auto"/>
        <w:contextualSpacing/>
        <w:outlineLvl w:val="2"/>
        <w:rPr>
          <w:rFonts w:hint="eastAsia" w:ascii="宋体" w:hAnsi="宋体"/>
          <w:sz w:val="24"/>
          <w:highlight w:val="none"/>
        </w:rPr>
      </w:pPr>
      <w:r>
        <w:rPr>
          <w:rFonts w:hint="eastAsia" w:ascii="宋体" w:hAnsi="宋体"/>
          <w:sz w:val="24"/>
          <w:highlight w:val="none"/>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pPr>
        <w:widowControl/>
        <w:numPr>
          <w:ilvl w:val="0"/>
          <w:numId w:val="70"/>
        </w:numPr>
        <w:spacing w:line="360" w:lineRule="auto"/>
        <w:contextualSpacing/>
        <w:outlineLvl w:val="2"/>
        <w:rPr>
          <w:rFonts w:hint="eastAsia" w:ascii="宋体" w:hAnsi="宋体"/>
          <w:sz w:val="24"/>
          <w:highlight w:val="none"/>
        </w:rPr>
      </w:pPr>
      <w:r>
        <w:rPr>
          <w:rFonts w:hint="eastAsia" w:ascii="宋体" w:hAnsi="宋体"/>
          <w:sz w:val="24"/>
          <w:highlight w:val="none"/>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投资者应承担相应的赔偿责任。</w:t>
      </w:r>
    </w:p>
    <w:p>
      <w:pPr>
        <w:widowControl/>
        <w:numPr>
          <w:ilvl w:val="0"/>
          <w:numId w:val="70"/>
        </w:numPr>
        <w:spacing w:line="360" w:lineRule="auto"/>
        <w:contextualSpacing/>
        <w:outlineLvl w:val="2"/>
        <w:rPr>
          <w:rFonts w:hint="eastAsia" w:ascii="宋体" w:hAnsi="宋体"/>
          <w:sz w:val="24"/>
          <w:highlight w:val="none"/>
        </w:rPr>
      </w:pPr>
      <w:r>
        <w:rPr>
          <w:rFonts w:hint="eastAsia" w:ascii="宋体" w:hAnsi="宋体"/>
          <w:sz w:val="24"/>
          <w:highlight w:val="none"/>
        </w:rPr>
        <w:t>若由于销售机构过错导致理财计划资产发生损失，销售机构应按其过错承担赔偿责任，销售机构赔偿的款项计入理财计划的资产和收益。</w:t>
      </w:r>
    </w:p>
    <w:p>
      <w:pPr>
        <w:widowControl/>
        <w:numPr>
          <w:ilvl w:val="0"/>
          <w:numId w:val="70"/>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pPr>
        <w:widowControl/>
        <w:numPr>
          <w:ilvl w:val="0"/>
          <w:numId w:val="70"/>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因国家有关法律、法规、规章、政策的修改或新的法律、法规、规章、政策颁布以及紧急措施的出台导致的风险及损失，销售机构不承担责任。</w:t>
      </w:r>
    </w:p>
    <w:p>
      <w:pPr>
        <w:widowControl/>
        <w:spacing w:line="360" w:lineRule="auto"/>
        <w:contextualSpacing/>
        <w:rPr>
          <w:rFonts w:hint="eastAsia" w:ascii="宋体" w:hAnsi="宋体"/>
          <w:b/>
          <w:bCs/>
          <w:sz w:val="24"/>
          <w:highlight w:val="none"/>
        </w:rPr>
      </w:pPr>
    </w:p>
    <w:p>
      <w:pPr>
        <w:widowControl/>
        <w:spacing w:line="360" w:lineRule="auto"/>
        <w:ind w:firstLine="482" w:firstLineChars="200"/>
        <w:outlineLvl w:val="1"/>
        <w:rPr>
          <w:rFonts w:hint="eastAsia"/>
          <w:b/>
          <w:bCs/>
          <w:sz w:val="24"/>
          <w:highlight w:val="none"/>
        </w:rPr>
      </w:pPr>
      <w:r>
        <w:rPr>
          <w:rFonts w:hint="eastAsia"/>
          <w:b/>
          <w:bCs/>
          <w:sz w:val="24"/>
          <w:highlight w:val="none"/>
        </w:rPr>
        <w:t>第六条 适用法律与争议解决</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widowControl/>
        <w:spacing w:line="360" w:lineRule="auto"/>
        <w:ind w:firstLine="482" w:firstLineChars="200"/>
        <w:contextualSpacing/>
        <w:rPr>
          <w:rFonts w:hint="eastAsia" w:ascii="宋体" w:hAnsi="宋体"/>
          <w:b/>
          <w:bCs/>
          <w:sz w:val="24"/>
          <w:highlight w:val="none"/>
        </w:rPr>
      </w:pPr>
    </w:p>
    <w:p>
      <w:pPr>
        <w:widowControl/>
        <w:spacing w:line="360" w:lineRule="auto"/>
        <w:ind w:firstLine="482" w:firstLineChars="200"/>
        <w:outlineLvl w:val="1"/>
        <w:rPr>
          <w:rFonts w:hint="eastAsia"/>
          <w:b/>
          <w:bCs/>
          <w:sz w:val="24"/>
          <w:highlight w:val="none"/>
        </w:rPr>
      </w:pPr>
      <w:r>
        <w:rPr>
          <w:rFonts w:hint="eastAsia"/>
          <w:b/>
          <w:bCs/>
          <w:sz w:val="24"/>
          <w:highlight w:val="none"/>
        </w:rPr>
        <w:t>第七条 协议生效和终止</w:t>
      </w:r>
    </w:p>
    <w:p>
      <w:pPr>
        <w:widowControl/>
        <w:numPr>
          <w:ilvl w:val="0"/>
          <w:numId w:val="71"/>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投资者和销售机构双方认可本协议可以纸质或电子数据等形式提交、订立或确认。 </w:t>
      </w:r>
    </w:p>
    <w:p>
      <w:pPr>
        <w:widowControl/>
        <w:numPr>
          <w:ilvl w:val="0"/>
          <w:numId w:val="72"/>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署（如投资者为个人，应签字；如投资者为机构，应法定代表人或授权代理人签字或盖章并加盖公章或有效授权印章）和销售机构签章之后立即生效。协议一式叁份，投资者、管理人和销售机构各执壹份，具有同等法律效力</w:t>
      </w:r>
      <w:r>
        <w:rPr>
          <w:rFonts w:hint="eastAsia" w:ascii="宋体" w:hAnsi="宋体"/>
          <w:sz w:val="24"/>
          <w:highlight w:val="none"/>
          <w:lang w:eastAsia="zh-CN"/>
        </w:rPr>
        <w:t>。</w:t>
      </w:r>
      <w:r>
        <w:rPr>
          <w:rFonts w:hint="eastAsia" w:ascii="宋体" w:hAnsi="宋体"/>
          <w:sz w:val="24"/>
          <w:highlight w:val="none"/>
        </w:rPr>
        <w:t xml:space="preserve"> </w:t>
      </w:r>
    </w:p>
    <w:p>
      <w:pPr>
        <w:widowControl/>
        <w:numPr>
          <w:ilvl w:val="0"/>
          <w:numId w:val="72"/>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2"/>
        </w:numPr>
        <w:spacing w:line="360" w:lineRule="auto"/>
        <w:contextualSpacing/>
        <w:outlineLvl w:val="2"/>
        <w:rPr>
          <w:rFonts w:hint="eastAsia" w:ascii="宋体" w:hAnsi="宋体"/>
          <w:sz w:val="24"/>
          <w:highlight w:val="none"/>
        </w:rPr>
      </w:pPr>
      <w:r>
        <w:rPr>
          <w:rFonts w:hint="eastAsia" w:ascii="宋体" w:hAnsi="宋体"/>
          <w:sz w:val="24"/>
          <w:highlight w:val="none"/>
        </w:rPr>
        <w:t>投资者和销售机构双方在本协议及对应期次的理财计划产品说明书项下权利义务履行完毕之日，本协议自动终止。</w:t>
      </w:r>
    </w:p>
    <w:p>
      <w:pPr>
        <w:widowControl/>
        <w:spacing w:line="360" w:lineRule="auto"/>
        <w:ind w:left="420"/>
        <w:contextualSpacing/>
        <w:rPr>
          <w:rFonts w:hint="eastAsia" w:ascii="宋体" w:hAnsi="宋体"/>
          <w:sz w:val="24"/>
          <w:highlight w:val="none"/>
        </w:rPr>
      </w:pPr>
    </w:p>
    <w:p>
      <w:pPr>
        <w:widowControl/>
        <w:spacing w:line="360" w:lineRule="auto"/>
        <w:ind w:firstLine="482" w:firstLineChars="200"/>
        <w:outlineLvl w:val="1"/>
        <w:rPr>
          <w:rFonts w:hint="eastAsia"/>
          <w:b/>
          <w:sz w:val="24"/>
          <w:highlight w:val="none"/>
        </w:rPr>
      </w:pPr>
      <w:r>
        <w:rPr>
          <w:rFonts w:hint="eastAsia"/>
          <w:b/>
          <w:sz w:val="24"/>
          <w:highlight w:val="none"/>
        </w:rPr>
        <w:t xml:space="preserve">第八条 附则 </w:t>
      </w:r>
    </w:p>
    <w:p>
      <w:pPr>
        <w:widowControl/>
        <w:numPr>
          <w:ilvl w:val="0"/>
          <w:numId w:val="73"/>
        </w:numPr>
        <w:spacing w:line="360" w:lineRule="auto"/>
        <w:contextualSpacing/>
        <w:outlineLvl w:val="2"/>
        <w:rPr>
          <w:rFonts w:hint="eastAsia" w:ascii="宋体" w:hAnsi="宋体"/>
          <w:sz w:val="24"/>
          <w:highlight w:val="none"/>
        </w:rPr>
      </w:pPr>
      <w:r>
        <w:rPr>
          <w:rFonts w:hint="eastAsia" w:ascii="宋体" w:hAnsi="宋体"/>
          <w:sz w:val="24"/>
          <w:highlight w:val="none"/>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73"/>
        </w:numPr>
        <w:spacing w:line="360" w:lineRule="auto"/>
        <w:contextualSpacing/>
        <w:outlineLvl w:val="2"/>
        <w:rPr>
          <w:rFonts w:hint="eastAsia"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3"/>
        </w:numPr>
        <w:spacing w:line="360" w:lineRule="auto"/>
        <w:contextualSpacing/>
        <w:outlineLvl w:val="2"/>
        <w:rPr>
          <w:rFonts w:hint="eastAsia"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w:t>
      </w:r>
      <w:r>
        <w:rPr>
          <w:rFonts w:ascii="宋体" w:hAnsi="宋体"/>
          <w:sz w:val="24"/>
          <w:highlight w:val="none"/>
        </w:rPr>
        <w:t>合同</w:t>
      </w:r>
      <w:r>
        <w:rPr>
          <w:rFonts w:hint="eastAsia" w:ascii="宋体" w:hAnsi="宋体"/>
          <w:sz w:val="24"/>
          <w:highlight w:val="none"/>
        </w:rPr>
        <w:t>销售文件进行修订。</w:t>
      </w:r>
    </w:p>
    <w:p>
      <w:pPr>
        <w:widowControl/>
        <w:spacing w:line="360" w:lineRule="auto"/>
        <w:contextualSpacing/>
        <w:rPr>
          <w:rFonts w:hint="eastAsia" w:ascii="宋体" w:hAnsi="宋体"/>
          <w:sz w:val="24"/>
          <w:highlight w:val="none"/>
        </w:rPr>
      </w:pPr>
    </w:p>
    <w:p>
      <w:pPr>
        <w:widowControl/>
        <w:spacing w:line="360" w:lineRule="auto"/>
        <w:jc w:val="right"/>
        <w:rPr>
          <w:highlight w:val="none"/>
        </w:rPr>
      </w:pPr>
      <w:r>
        <w:rPr>
          <w:rFonts w:hint="eastAsia" w:ascii="宋体" w:hAnsi="宋体" w:cs="宋体"/>
          <w:kern w:val="0"/>
          <w:sz w:val="24"/>
          <w:highlight w:val="none"/>
        </w:rPr>
        <w:t>杭银理财有限责任公司</w:t>
      </w:r>
    </w:p>
    <w:p>
      <w:pPr>
        <w:spacing w:line="360" w:lineRule="auto"/>
        <w:rPr>
          <w:rFonts w:hint="eastAsia" w:ascii="宋体" w:hAnsi="宋体"/>
          <w:sz w:val="24"/>
          <w:highlight w:val="none"/>
        </w:rPr>
      </w:pPr>
      <w:r>
        <w:rPr>
          <w:rFonts w:hint="eastAsia" w:ascii="宋体" w:hAnsi="宋体"/>
          <w:sz w:val="24"/>
          <w:highlight w:val="none"/>
        </w:rPr>
        <w:br w:type="page"/>
      </w:r>
    </w:p>
    <w:p>
      <w:pPr>
        <w:spacing w:line="360" w:lineRule="auto"/>
        <w:rPr>
          <w:rFonts w:ascii="宋体" w:hAnsi="宋体"/>
          <w:sz w:val="24"/>
          <w:highlight w:val="none"/>
        </w:rPr>
      </w:pPr>
      <w:r>
        <w:rPr>
          <w:rFonts w:hint="eastAsia" w:ascii="宋体" w:hAnsi="宋体"/>
          <w:sz w:val="24"/>
          <w:highlight w:val="none"/>
        </w:rPr>
        <w:t>本页为纸质形式（如有）销售协议书签章页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投资者（签字或签章）：</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销售机构签章：</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9">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0">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1">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2">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3">
    <w:nsid w:val="D8D75090"/>
    <w:multiLevelType w:val="singleLevel"/>
    <w:tmpl w:val="D8D75090"/>
    <w:lvl w:ilvl="0" w:tentative="0">
      <w:start w:val="1"/>
      <w:numFmt w:val="decimal"/>
      <w:suff w:val="nothing"/>
      <w:lvlText w:val="（%1）"/>
      <w:lvlJc w:val="left"/>
      <w:rPr>
        <w:rFonts w:hint="default"/>
        <w:b w:val="0"/>
        <w:bCs w:val="0"/>
      </w:rPr>
    </w:lvl>
  </w:abstractNum>
  <w:abstractNum w:abstractNumId="24">
    <w:nsid w:val="DD2251DF"/>
    <w:multiLevelType w:val="singleLevel"/>
    <w:tmpl w:val="DD2251DF"/>
    <w:lvl w:ilvl="0" w:tentative="0">
      <w:start w:val="1"/>
      <w:numFmt w:val="decimal"/>
      <w:suff w:val="nothing"/>
      <w:lvlText w:val="（%1）"/>
      <w:lvlJc w:val="left"/>
      <w:rPr>
        <w:rFonts w:hint="default"/>
        <w:b w:val="0"/>
        <w:bCs w:val="0"/>
      </w:rPr>
    </w:lvl>
  </w:abstractNum>
  <w:abstractNum w:abstractNumId="25">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6">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7">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7">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8">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49">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0">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1">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2">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3">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4">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5">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6">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7">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8">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59">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0">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1">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2">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3">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4">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5">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6">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7">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8">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69">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1">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2">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2"/>
  </w:num>
  <w:num w:numId="4">
    <w:abstractNumId w:val="37"/>
  </w:num>
  <w:num w:numId="5">
    <w:abstractNumId w:val="20"/>
  </w:num>
  <w:num w:numId="6">
    <w:abstractNumId w:val="71"/>
  </w:num>
  <w:num w:numId="7">
    <w:abstractNumId w:val="31"/>
  </w:num>
  <w:num w:numId="8">
    <w:abstractNumId w:val="72"/>
  </w:num>
  <w:num w:numId="9">
    <w:abstractNumId w:val="47"/>
  </w:num>
  <w:num w:numId="10">
    <w:abstractNumId w:val="44"/>
  </w:num>
  <w:num w:numId="11">
    <w:abstractNumId w:val="29"/>
  </w:num>
  <w:num w:numId="12">
    <w:abstractNumId w:val="27"/>
  </w:num>
  <w:num w:numId="13">
    <w:abstractNumId w:val="33"/>
  </w:num>
  <w:num w:numId="14">
    <w:abstractNumId w:val="26"/>
  </w:num>
  <w:num w:numId="15">
    <w:abstractNumId w:val="21"/>
  </w:num>
  <w:num w:numId="16">
    <w:abstractNumId w:val="11"/>
  </w:num>
  <w:num w:numId="17">
    <w:abstractNumId w:val="8"/>
  </w:num>
  <w:num w:numId="18">
    <w:abstractNumId w:val="9"/>
  </w:num>
  <w:num w:numId="19">
    <w:abstractNumId w:val="7"/>
  </w:num>
  <w:num w:numId="20">
    <w:abstractNumId w:val="32"/>
  </w:num>
  <w:num w:numId="21">
    <w:abstractNumId w:val="5"/>
  </w:num>
  <w:num w:numId="22">
    <w:abstractNumId w:val="1"/>
  </w:num>
  <w:num w:numId="23">
    <w:abstractNumId w:val="43"/>
  </w:num>
  <w:num w:numId="24">
    <w:abstractNumId w:val="28"/>
  </w:num>
  <w:num w:numId="25">
    <w:abstractNumId w:val="19"/>
  </w:num>
  <w:num w:numId="26">
    <w:abstractNumId w:val="38"/>
  </w:num>
  <w:num w:numId="27">
    <w:abstractNumId w:val="22"/>
  </w:num>
  <w:num w:numId="28">
    <w:abstractNumId w:val="6"/>
  </w:num>
  <w:num w:numId="29">
    <w:abstractNumId w:val="46"/>
  </w:num>
  <w:num w:numId="30">
    <w:abstractNumId w:val="4"/>
  </w:num>
  <w:num w:numId="31">
    <w:abstractNumId w:val="69"/>
  </w:num>
  <w:num w:numId="32">
    <w:abstractNumId w:val="36"/>
  </w:num>
  <w:num w:numId="33">
    <w:abstractNumId w:val="70"/>
  </w:num>
  <w:num w:numId="34">
    <w:abstractNumId w:val="30"/>
  </w:num>
  <w:num w:numId="35">
    <w:abstractNumId w:val="24"/>
  </w:num>
  <w:num w:numId="36">
    <w:abstractNumId w:val="41"/>
  </w:num>
  <w:num w:numId="37">
    <w:abstractNumId w:val="2"/>
  </w:num>
  <w:num w:numId="38">
    <w:abstractNumId w:val="25"/>
  </w:num>
  <w:num w:numId="39">
    <w:abstractNumId w:val="17"/>
  </w:num>
  <w:num w:numId="40">
    <w:abstractNumId w:val="45"/>
  </w:num>
  <w:num w:numId="41">
    <w:abstractNumId w:val="34"/>
  </w:num>
  <w:num w:numId="42">
    <w:abstractNumId w:val="18"/>
  </w:num>
  <w:num w:numId="43">
    <w:abstractNumId w:val="48"/>
  </w:num>
  <w:num w:numId="44">
    <w:abstractNumId w:val="12"/>
  </w:num>
  <w:num w:numId="45">
    <w:abstractNumId w:val="10"/>
  </w:num>
  <w:num w:numId="46">
    <w:abstractNumId w:val="13"/>
  </w:num>
  <w:num w:numId="47">
    <w:abstractNumId w:val="35"/>
  </w:num>
  <w:num w:numId="48">
    <w:abstractNumId w:val="23"/>
  </w:num>
  <w:num w:numId="49">
    <w:abstractNumId w:val="3"/>
  </w:num>
  <w:num w:numId="50">
    <w:abstractNumId w:val="40"/>
  </w:num>
  <w:num w:numId="51">
    <w:abstractNumId w:val="56"/>
  </w:num>
  <w:num w:numId="52">
    <w:abstractNumId w:val="55"/>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39"/>
  </w:num>
  <w:num w:numId="60">
    <w:abstractNumId w:val="16"/>
  </w:num>
  <w:num w:numId="61">
    <w:abstractNumId w:val="49"/>
  </w:num>
  <w:num w:numId="62">
    <w:abstractNumId w:val="50"/>
  </w:num>
  <w:num w:numId="63">
    <w:abstractNumId w:val="51"/>
  </w:num>
  <w:num w:numId="64">
    <w:abstractNumId w:val="52"/>
  </w:num>
  <w:num w:numId="65">
    <w:abstractNumId w:val="53"/>
  </w:num>
  <w:num w:numId="66">
    <w:abstractNumId w:val="54"/>
  </w:num>
  <w:num w:numId="67">
    <w:abstractNumId w:val="63"/>
  </w:num>
  <w:num w:numId="68">
    <w:abstractNumId w:val="64"/>
  </w:num>
  <w:num w:numId="69">
    <w:abstractNumId w:val="15"/>
  </w:num>
  <w:num w:numId="70">
    <w:abstractNumId w:val="65"/>
  </w:num>
  <w:num w:numId="71">
    <w:abstractNumId w:val="66"/>
  </w:num>
  <w:num w:numId="72">
    <w:abstractNumId w:val="67"/>
  </w:num>
  <w:num w:numId="73">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FF6A3A"/>
    <w:rsid w:val="03BA3F56"/>
    <w:rsid w:val="0460442C"/>
    <w:rsid w:val="04CC55AF"/>
    <w:rsid w:val="0500018B"/>
    <w:rsid w:val="05B13762"/>
    <w:rsid w:val="07376664"/>
    <w:rsid w:val="09130B13"/>
    <w:rsid w:val="0B1A5A6E"/>
    <w:rsid w:val="0B2D0BA7"/>
    <w:rsid w:val="0B9F06D4"/>
    <w:rsid w:val="0BFD050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5FFB4E2"/>
    <w:rsid w:val="162A128A"/>
    <w:rsid w:val="16563388"/>
    <w:rsid w:val="17432384"/>
    <w:rsid w:val="17611875"/>
    <w:rsid w:val="1783542D"/>
    <w:rsid w:val="179972B0"/>
    <w:rsid w:val="18FC27C6"/>
    <w:rsid w:val="1B757EAF"/>
    <w:rsid w:val="1CAD01AC"/>
    <w:rsid w:val="1D4F0AE0"/>
    <w:rsid w:val="1D866C77"/>
    <w:rsid w:val="1D9446FE"/>
    <w:rsid w:val="1DFF113E"/>
    <w:rsid w:val="1E831DF3"/>
    <w:rsid w:val="1E856DEB"/>
    <w:rsid w:val="1F3C1565"/>
    <w:rsid w:val="20BD2325"/>
    <w:rsid w:val="24A67BC4"/>
    <w:rsid w:val="25801A05"/>
    <w:rsid w:val="27CE3874"/>
    <w:rsid w:val="27EB3D24"/>
    <w:rsid w:val="28B13D99"/>
    <w:rsid w:val="2A4135AD"/>
    <w:rsid w:val="2AD52CEA"/>
    <w:rsid w:val="2B683C5D"/>
    <w:rsid w:val="2B8255D3"/>
    <w:rsid w:val="2CED7384"/>
    <w:rsid w:val="2D131CD0"/>
    <w:rsid w:val="2DD45D89"/>
    <w:rsid w:val="307B1E47"/>
    <w:rsid w:val="348C31DF"/>
    <w:rsid w:val="348E01C6"/>
    <w:rsid w:val="354C4323"/>
    <w:rsid w:val="35CD15B7"/>
    <w:rsid w:val="35D86BDE"/>
    <w:rsid w:val="35FD5667"/>
    <w:rsid w:val="36310E4A"/>
    <w:rsid w:val="36591675"/>
    <w:rsid w:val="372216A6"/>
    <w:rsid w:val="38663D34"/>
    <w:rsid w:val="39310E98"/>
    <w:rsid w:val="39977E11"/>
    <w:rsid w:val="3AA66AF1"/>
    <w:rsid w:val="3B885E8A"/>
    <w:rsid w:val="3BF91FE0"/>
    <w:rsid w:val="3D3D1991"/>
    <w:rsid w:val="3DF2217F"/>
    <w:rsid w:val="3E6E2E42"/>
    <w:rsid w:val="3EA23778"/>
    <w:rsid w:val="3EAC1C1C"/>
    <w:rsid w:val="3EE67142"/>
    <w:rsid w:val="3EFE04EE"/>
    <w:rsid w:val="3FCF347B"/>
    <w:rsid w:val="3FE830E5"/>
    <w:rsid w:val="3FF3288E"/>
    <w:rsid w:val="3FFF2FDA"/>
    <w:rsid w:val="40221B6B"/>
    <w:rsid w:val="41487A0A"/>
    <w:rsid w:val="42342BAA"/>
    <w:rsid w:val="425B6A60"/>
    <w:rsid w:val="426E7500"/>
    <w:rsid w:val="43685ADB"/>
    <w:rsid w:val="44045C03"/>
    <w:rsid w:val="46DB254E"/>
    <w:rsid w:val="478A2A1D"/>
    <w:rsid w:val="47C36E36"/>
    <w:rsid w:val="47FFEEA7"/>
    <w:rsid w:val="48A3615E"/>
    <w:rsid w:val="48E00B0C"/>
    <w:rsid w:val="49CB5098"/>
    <w:rsid w:val="4B7B050C"/>
    <w:rsid w:val="4B954EA0"/>
    <w:rsid w:val="4CC84C98"/>
    <w:rsid w:val="4D4708A6"/>
    <w:rsid w:val="4E754A4E"/>
    <w:rsid w:val="4E772A66"/>
    <w:rsid w:val="4E9967DA"/>
    <w:rsid w:val="4ECF30D7"/>
    <w:rsid w:val="4EDFE998"/>
    <w:rsid w:val="4F1025D9"/>
    <w:rsid w:val="4FC27339"/>
    <w:rsid w:val="502B3CEE"/>
    <w:rsid w:val="509F5AAF"/>
    <w:rsid w:val="50EE58D7"/>
    <w:rsid w:val="519E097B"/>
    <w:rsid w:val="51EB2798"/>
    <w:rsid w:val="52D92F47"/>
    <w:rsid w:val="53A84543"/>
    <w:rsid w:val="56A66316"/>
    <w:rsid w:val="5851778C"/>
    <w:rsid w:val="58A020D2"/>
    <w:rsid w:val="5A5F3178"/>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9644745"/>
    <w:rsid w:val="69BC658F"/>
    <w:rsid w:val="6A042D14"/>
    <w:rsid w:val="6ABE1B22"/>
    <w:rsid w:val="6B29233B"/>
    <w:rsid w:val="6B8C2015"/>
    <w:rsid w:val="6C1B5E3A"/>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DAE1C60"/>
    <w:rsid w:val="7DF68476"/>
    <w:rsid w:val="7EB27B45"/>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5"/>
    <w:uiPriority w:val="0"/>
    <w:pPr>
      <w:jc w:val="left"/>
    </w:pPr>
    <w:rPr>
      <w:rFonts w:cs="Times New Roman"/>
    </w:rPr>
  </w:style>
  <w:style w:type="paragraph" w:styleId="3">
    <w:name w:val="Balloon Text"/>
    <w:basedOn w:val="1"/>
    <w:link w:val="16"/>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7"/>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Default"/>
    <w:qFormat/>
    <w:uiPriority w:val="0"/>
    <w:pPr>
      <w:widowControl w:val="0"/>
      <w:autoSpaceDE w:val="0"/>
      <w:autoSpaceDN w:val="0"/>
      <w:adjustRightInd w:val="0"/>
    </w:pPr>
    <w:rPr>
      <w:color w:val="000000"/>
      <w:sz w:val="24"/>
      <w:szCs w:val="24"/>
      <w:lang w:val="en-US" w:eastAsia="zh-CN" w:bidi="ar-SA"/>
    </w:rPr>
  </w:style>
  <w:style w:type="paragraph" w:customStyle="1" w:styleId="14">
    <w:name w:val="List Paragraph"/>
    <w:basedOn w:val="1"/>
    <w:unhideWhenUsed/>
    <w:uiPriority w:val="99"/>
    <w:pPr>
      <w:ind w:firstLine="420" w:firstLineChars="200"/>
    </w:pPr>
  </w:style>
  <w:style w:type="character" w:customStyle="1" w:styleId="15">
    <w:name w:val="批注文字 Char"/>
    <w:link w:val="2"/>
    <w:uiPriority w:val="0"/>
    <w:rPr>
      <w:rFonts w:ascii="Calibri" w:hAnsi="Calibri" w:cs="黑体"/>
      <w:kern w:val="2"/>
      <w:sz w:val="21"/>
      <w:szCs w:val="24"/>
    </w:rPr>
  </w:style>
  <w:style w:type="character" w:customStyle="1" w:styleId="16">
    <w:name w:val="批注框文本 Char"/>
    <w:link w:val="3"/>
    <w:uiPriority w:val="0"/>
    <w:rPr>
      <w:rFonts w:ascii="Calibri" w:hAnsi="Calibri" w:cs="黑体"/>
      <w:kern w:val="2"/>
      <w:sz w:val="18"/>
      <w:szCs w:val="18"/>
    </w:rPr>
  </w:style>
  <w:style w:type="character" w:customStyle="1" w:styleId="17">
    <w:name w:val="批注主题 Char"/>
    <w:link w:val="7"/>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35635</Words>
  <Characters>38373</Characters>
  <Lines>272</Lines>
  <Paragraphs>76</Paragraphs>
  <TotalTime>58.6666666666667</TotalTime>
  <ScaleCrop>false</ScaleCrop>
  <LinksUpToDate>false</LinksUpToDate>
  <CharactersWithSpaces>38886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2025-03-27T08:34:41Z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