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43D1D">
      <w:pPr>
        <w:jc w:val="center"/>
        <w:rPr>
          <w:rFonts w:ascii="宋体" w:hAnsi="宋体" w:eastAsia="宋体" w:cs="宋体"/>
          <w:b/>
          <w:bCs/>
          <w:sz w:val="32"/>
          <w:szCs w:val="32"/>
        </w:rPr>
      </w:pPr>
      <w:r>
        <w:rPr>
          <w:rFonts w:ascii="宋体" w:hAnsi="宋体" w:eastAsia="宋体" w:cs="宋体"/>
          <w:b/>
          <w:bCs/>
          <w:sz w:val="32"/>
          <w:szCs w:val="32"/>
        </w:rPr>
        <w:t>上虞农商银行“丰收信福”2024年第32期封闭式净值型人民币理财产品2025年第一季度报告</w:t>
      </w:r>
    </w:p>
    <w:p w14:paraId="253AEBFC">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4328"/>
      </w:tblGrid>
      <w:tr w14:paraId="40DF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04A3696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产品信息</w:t>
            </w:r>
          </w:p>
        </w:tc>
        <w:tc>
          <w:tcPr>
            <w:tcW w:w="4328" w:type="dxa"/>
          </w:tcPr>
          <w:p w14:paraId="6829801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要素内容</w:t>
            </w:r>
          </w:p>
        </w:tc>
      </w:tr>
      <w:tr w14:paraId="4C1B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vAlign w:val="center"/>
          </w:tcPr>
          <w:p w14:paraId="119B2AA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产品名称</w:t>
            </w:r>
          </w:p>
        </w:tc>
        <w:tc>
          <w:tcPr>
            <w:tcW w:w="4328" w:type="dxa"/>
          </w:tcPr>
          <w:p w14:paraId="14D2EA07">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上虞农商银行“丰收信福”2024年第32期封闭式净值型人民币理财产品</w:t>
            </w:r>
          </w:p>
        </w:tc>
      </w:tr>
      <w:tr w14:paraId="7A61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6D6DF98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产品代码</w:t>
            </w:r>
          </w:p>
        </w:tc>
        <w:tc>
          <w:tcPr>
            <w:tcW w:w="4328" w:type="dxa"/>
          </w:tcPr>
          <w:p w14:paraId="00B0E7D1">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FSXFFBJZ8922024032</w:t>
            </w:r>
          </w:p>
        </w:tc>
      </w:tr>
      <w:tr w14:paraId="5A3D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31851D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理财产品登记编码</w:t>
            </w:r>
          </w:p>
        </w:tc>
        <w:tc>
          <w:tcPr>
            <w:tcW w:w="4328" w:type="dxa"/>
          </w:tcPr>
          <w:p w14:paraId="07DB79A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C1124924000031</w:t>
            </w:r>
          </w:p>
        </w:tc>
      </w:tr>
      <w:tr w14:paraId="77E2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BD25B7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产品成立日</w:t>
            </w:r>
          </w:p>
        </w:tc>
        <w:tc>
          <w:tcPr>
            <w:tcW w:w="4328" w:type="dxa"/>
            <w:vAlign w:val="center"/>
          </w:tcPr>
          <w:p w14:paraId="41ADC8E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2024/07/10</w:t>
            </w:r>
          </w:p>
        </w:tc>
      </w:tr>
      <w:tr w14:paraId="410F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DF36EB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产品到期日</w:t>
            </w:r>
          </w:p>
        </w:tc>
        <w:tc>
          <w:tcPr>
            <w:tcW w:w="4328" w:type="dxa"/>
          </w:tcPr>
          <w:p w14:paraId="4C39DAEC">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2025/07/10</w:t>
            </w:r>
          </w:p>
        </w:tc>
      </w:tr>
      <w:tr w14:paraId="291E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43B0665">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产品类型</w:t>
            </w:r>
          </w:p>
        </w:tc>
        <w:tc>
          <w:tcPr>
            <w:tcW w:w="4328" w:type="dxa"/>
          </w:tcPr>
          <w:p w14:paraId="7047B45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非保本浮动收益型</w:t>
            </w:r>
          </w:p>
        </w:tc>
      </w:tr>
      <w:tr w14:paraId="143D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7CF9051">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产品风险等级</w:t>
            </w:r>
          </w:p>
        </w:tc>
        <w:tc>
          <w:tcPr>
            <w:tcW w:w="4328" w:type="dxa"/>
          </w:tcPr>
          <w:p w14:paraId="5CD097A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PR2中低风险</w:t>
            </w:r>
          </w:p>
        </w:tc>
      </w:tr>
      <w:tr w14:paraId="4130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49C6B4B">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托管人</w:t>
            </w:r>
          </w:p>
        </w:tc>
        <w:tc>
          <w:tcPr>
            <w:tcW w:w="4328" w:type="dxa"/>
          </w:tcPr>
          <w:p w14:paraId="6B832849">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兴业银行股份有限公司</w:t>
            </w:r>
          </w:p>
        </w:tc>
      </w:tr>
      <w:tr w14:paraId="056C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28C53A0E">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管理人</w:t>
            </w:r>
          </w:p>
        </w:tc>
        <w:tc>
          <w:tcPr>
            <w:tcW w:w="4328" w:type="dxa"/>
          </w:tcPr>
          <w:p w14:paraId="66FD02C9">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浙江上虞农村商业银行股份有限公司</w:t>
            </w:r>
          </w:p>
        </w:tc>
      </w:tr>
      <w:tr w14:paraId="641A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73F96A32">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理财币种</w:t>
            </w:r>
          </w:p>
        </w:tc>
        <w:tc>
          <w:tcPr>
            <w:tcW w:w="4328" w:type="dxa"/>
          </w:tcPr>
          <w:p w14:paraId="041485B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人民币</w:t>
            </w:r>
          </w:p>
        </w:tc>
      </w:tr>
      <w:tr w14:paraId="7D09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58347776">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业绩比较基准</w:t>
            </w:r>
          </w:p>
        </w:tc>
        <w:tc>
          <w:tcPr>
            <w:tcW w:w="4328" w:type="dxa"/>
          </w:tcPr>
          <w:p w14:paraId="79CDD5D5">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2.50-3.00</w:t>
            </w:r>
            <w:r>
              <w:rPr>
                <w:rFonts w:hint="eastAsia" w:ascii="宋体" w:hAnsi="宋体" w:eastAsia="宋体" w:cs="宋体"/>
                <w:b/>
                <w:bCs/>
                <w:kern w:val="0"/>
                <w:sz w:val="24"/>
                <w:szCs w:val="20"/>
              </w:rPr>
              <w:t>%</w:t>
            </w:r>
          </w:p>
        </w:tc>
      </w:tr>
      <w:tr w14:paraId="0C1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15507A44">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产品托管费率</w:t>
            </w:r>
          </w:p>
        </w:tc>
        <w:tc>
          <w:tcPr>
            <w:tcW w:w="4328" w:type="dxa"/>
          </w:tcPr>
          <w:p w14:paraId="2AC4A1F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0.010</w:t>
            </w:r>
            <w:r>
              <w:rPr>
                <w:rFonts w:hint="eastAsia" w:ascii="宋体" w:hAnsi="宋体" w:eastAsia="宋体" w:cs="宋体"/>
                <w:b/>
                <w:bCs/>
                <w:kern w:val="0"/>
                <w:sz w:val="24"/>
                <w:szCs w:val="20"/>
              </w:rPr>
              <w:t>%</w:t>
            </w:r>
          </w:p>
        </w:tc>
      </w:tr>
      <w:tr w14:paraId="3F94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3231D328">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产品外包估值费率</w:t>
            </w:r>
          </w:p>
        </w:tc>
        <w:tc>
          <w:tcPr>
            <w:tcW w:w="4328" w:type="dxa"/>
          </w:tcPr>
          <w:p w14:paraId="67E4CF02">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0.005</w:t>
            </w:r>
            <w:r>
              <w:rPr>
                <w:rFonts w:hint="eastAsia" w:ascii="宋体" w:hAnsi="宋体" w:eastAsia="宋体" w:cs="宋体"/>
                <w:b/>
                <w:bCs/>
                <w:kern w:val="0"/>
                <w:sz w:val="24"/>
                <w:szCs w:val="20"/>
              </w:rPr>
              <w:t>%</w:t>
            </w:r>
          </w:p>
        </w:tc>
      </w:tr>
      <w:tr w14:paraId="14CE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5521DEC">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报告期末资产净值（元）</w:t>
            </w:r>
          </w:p>
        </w:tc>
        <w:tc>
          <w:tcPr>
            <w:tcW w:w="4328" w:type="dxa"/>
            <w:vAlign w:val="center"/>
          </w:tcPr>
          <w:p w14:paraId="103F6475">
            <w:pPr>
              <w:widowControl/>
              <w:jc w:val="center"/>
              <w:textAlignment w:val="center"/>
              <w:rPr>
                <w:rFonts w:ascii="宋体" w:hAnsi="宋体" w:eastAsia="宋体" w:cs="宋体"/>
                <w:color w:val="000000"/>
                <w:kern w:val="0"/>
                <w:sz w:val="24"/>
                <w:szCs w:val="20"/>
              </w:rPr>
            </w:pPr>
            <w:r>
              <w:rPr>
                <w:rFonts w:ascii="宋体" w:hAnsi="宋体" w:eastAsia="宋体" w:cs="宋体"/>
                <w:b/>
                <w:bCs/>
                <w:kern w:val="0"/>
                <w:sz w:val="24"/>
                <w:szCs w:val="20"/>
              </w:rPr>
              <w:t>8179200</w:t>
            </w:r>
          </w:p>
        </w:tc>
      </w:tr>
      <w:tr w14:paraId="5353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4" w:type="dxa"/>
          </w:tcPr>
          <w:p w14:paraId="46A7072A">
            <w:pPr>
              <w:spacing w:line="480" w:lineRule="auto"/>
              <w:jc w:val="left"/>
              <w:rPr>
                <w:rFonts w:ascii="宋体" w:hAnsi="宋体" w:eastAsia="宋体" w:cs="宋体"/>
                <w:b/>
                <w:bCs/>
                <w:kern w:val="0"/>
                <w:sz w:val="24"/>
                <w:szCs w:val="20"/>
              </w:rPr>
            </w:pPr>
            <w:r>
              <w:rPr>
                <w:rFonts w:hint="eastAsia" w:ascii="宋体" w:hAnsi="宋体" w:eastAsia="宋体" w:cs="宋体"/>
                <w:b/>
                <w:bCs/>
                <w:kern w:val="0"/>
                <w:sz w:val="24"/>
                <w:szCs w:val="20"/>
              </w:rPr>
              <w:t>报告期末理财产品份额（份）</w:t>
            </w:r>
          </w:p>
        </w:tc>
        <w:tc>
          <w:tcPr>
            <w:tcW w:w="4328" w:type="dxa"/>
            <w:vAlign w:val="center"/>
          </w:tcPr>
          <w:p w14:paraId="2FDECCF6">
            <w:pPr>
              <w:widowControl/>
              <w:jc w:val="center"/>
              <w:textAlignment w:val="center"/>
              <w:rPr>
                <w:rFonts w:ascii="宋体" w:hAnsi="宋体" w:eastAsia="宋体" w:cs="宋体"/>
                <w:b/>
                <w:bCs/>
                <w:kern w:val="0"/>
                <w:sz w:val="24"/>
                <w:szCs w:val="20"/>
              </w:rPr>
            </w:pPr>
            <w:r>
              <w:rPr>
                <w:rFonts w:ascii="宋体" w:hAnsi="宋体" w:eastAsia="宋体" w:cs="宋体"/>
                <w:b/>
                <w:bCs/>
                <w:kern w:val="0"/>
                <w:sz w:val="24"/>
                <w:szCs w:val="20"/>
              </w:rPr>
              <w:t>8000000</w:t>
            </w:r>
          </w:p>
        </w:tc>
      </w:tr>
    </w:tbl>
    <w:p w14:paraId="55F9924F">
      <w:pPr>
        <w:numPr>
          <w:ilvl w:val="0"/>
          <w:numId w:val="1"/>
        </w:numPr>
        <w:spacing w:line="480" w:lineRule="auto"/>
        <w:rPr>
          <w:rFonts w:ascii="宋体" w:hAnsi="宋体" w:eastAsia="宋体" w:cs="宋体"/>
          <w:b/>
          <w:bCs/>
          <w:sz w:val="24"/>
        </w:rPr>
      </w:pPr>
      <w:r>
        <w:rPr>
          <w:rFonts w:hint="eastAsia" w:ascii="宋体" w:hAnsi="宋体" w:eastAsia="宋体" w:cs="宋体"/>
          <w:b/>
          <w:bCs/>
          <w:sz w:val="24"/>
        </w:rPr>
        <w:t>产品收益表现</w:t>
      </w:r>
    </w:p>
    <w:p w14:paraId="2880ACD4">
      <w:pPr>
        <w:numPr>
          <w:ilvl w:val="0"/>
          <w:numId w:val="2"/>
        </w:numPr>
        <w:spacing w:line="480" w:lineRule="auto"/>
        <w:rPr>
          <w:rFonts w:ascii="宋体" w:hAnsi="宋体" w:eastAsia="宋体" w:cs="宋体"/>
          <w:b/>
          <w:bCs/>
          <w:sz w:val="24"/>
        </w:rPr>
      </w:pPr>
      <w:r>
        <w:rPr>
          <w:rFonts w:hint="eastAsia" w:ascii="宋体" w:hAnsi="宋体" w:eastAsia="宋体" w:cs="宋体"/>
          <w:b/>
          <w:bCs/>
          <w:sz w:val="24"/>
        </w:rPr>
        <w:t>份额净值情况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727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37090A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期末日期</w:t>
            </w:r>
          </w:p>
        </w:tc>
        <w:tc>
          <w:tcPr>
            <w:tcW w:w="2841" w:type="dxa"/>
          </w:tcPr>
          <w:p w14:paraId="336F56C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份额净值</w:t>
            </w:r>
          </w:p>
        </w:tc>
        <w:tc>
          <w:tcPr>
            <w:tcW w:w="2841" w:type="dxa"/>
          </w:tcPr>
          <w:p w14:paraId="588B136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份额累计净值</w:t>
            </w:r>
          </w:p>
        </w:tc>
      </w:tr>
      <w:tr w14:paraId="71582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E84D8E8">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2025/03/31</w:t>
            </w:r>
          </w:p>
        </w:tc>
        <w:tc>
          <w:tcPr>
            <w:tcW w:w="2841" w:type="dxa"/>
          </w:tcPr>
          <w:p w14:paraId="7FBB3BCF">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1.0224</w:t>
            </w:r>
          </w:p>
        </w:tc>
        <w:tc>
          <w:tcPr>
            <w:tcW w:w="2841" w:type="dxa"/>
          </w:tcPr>
          <w:p w14:paraId="4EBA45ED">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1.0224</w:t>
            </w:r>
          </w:p>
        </w:tc>
      </w:tr>
    </w:tbl>
    <w:p w14:paraId="4C4B9102">
      <w:pPr>
        <w:numPr>
          <w:ilvl w:val="0"/>
          <w:numId w:val="2"/>
        </w:numPr>
        <w:spacing w:line="480" w:lineRule="auto"/>
        <w:rPr>
          <w:rFonts w:ascii="宋体" w:hAnsi="宋体" w:eastAsia="宋体" w:cs="宋体"/>
          <w:b/>
          <w:bCs/>
          <w:sz w:val="24"/>
        </w:rPr>
      </w:pPr>
      <w:r>
        <w:rPr>
          <w:rFonts w:hint="eastAsia" w:ascii="宋体" w:hAnsi="宋体" w:eastAsia="宋体" w:cs="宋体"/>
          <w:b/>
          <w:bCs/>
          <w:sz w:val="24"/>
        </w:rPr>
        <w:t>净值变动情况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C29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D8286F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时间阶段</w:t>
            </w:r>
          </w:p>
        </w:tc>
        <w:tc>
          <w:tcPr>
            <w:tcW w:w="4261" w:type="dxa"/>
          </w:tcPr>
          <w:p w14:paraId="76A8F6F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净值增长率（%）</w:t>
            </w:r>
          </w:p>
        </w:tc>
      </w:tr>
      <w:tr w14:paraId="1855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73E689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当期</w:t>
            </w:r>
          </w:p>
        </w:tc>
        <w:tc>
          <w:tcPr>
            <w:tcW w:w="4261" w:type="dxa"/>
          </w:tcPr>
          <w:p w14:paraId="7DB8F676">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0.15</w:t>
            </w:r>
          </w:p>
        </w:tc>
      </w:tr>
      <w:tr w14:paraId="1C65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F4EA50">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自产品成立日至今</w:t>
            </w:r>
          </w:p>
        </w:tc>
        <w:tc>
          <w:tcPr>
            <w:tcW w:w="4261" w:type="dxa"/>
          </w:tcPr>
          <w:p w14:paraId="09F583A0">
            <w:pPr>
              <w:spacing w:line="480" w:lineRule="auto"/>
              <w:jc w:val="center"/>
              <w:rPr>
                <w:rFonts w:ascii="宋体" w:hAnsi="宋体" w:eastAsia="宋体" w:cs="宋体"/>
                <w:b/>
                <w:bCs/>
                <w:kern w:val="0"/>
                <w:sz w:val="24"/>
                <w:szCs w:val="20"/>
              </w:rPr>
            </w:pPr>
            <w:r>
              <w:rPr>
                <w:rFonts w:ascii="宋体" w:hAnsi="宋体" w:eastAsia="宋体" w:cs="宋体"/>
                <w:b/>
                <w:bCs/>
                <w:kern w:val="0"/>
                <w:sz w:val="24"/>
                <w:szCs w:val="20"/>
              </w:rPr>
              <w:t>2.24</w:t>
            </w:r>
          </w:p>
        </w:tc>
      </w:tr>
    </w:tbl>
    <w:p w14:paraId="0858563E">
      <w:pPr>
        <w:spacing w:line="480" w:lineRule="auto"/>
        <w:rPr>
          <w:rFonts w:ascii="宋体" w:hAnsi="宋体" w:eastAsia="宋体" w:cs="宋体"/>
          <w:b/>
          <w:bCs/>
          <w:sz w:val="24"/>
        </w:rPr>
      </w:pPr>
      <w:r>
        <w:rPr>
          <w:rFonts w:hint="eastAsia" w:ascii="宋体" w:hAnsi="宋体" w:eastAsia="宋体" w:cs="宋体"/>
          <w:b/>
          <w:bCs/>
          <w:sz w:val="24"/>
        </w:rPr>
        <w:t xml:space="preserve">    说明：理财产品过往业绩不代表其未来表现，不等于理财产品实际收益，投资须谨慎。本产品单位净值暂未扣除投资管理费，该费用在产品到期日进行统一计提。</w:t>
      </w:r>
    </w:p>
    <w:p w14:paraId="6157BE5A">
      <w:pPr>
        <w:numPr>
          <w:ilvl w:val="0"/>
          <w:numId w:val="1"/>
        </w:numPr>
        <w:spacing w:line="480" w:lineRule="auto"/>
        <w:rPr>
          <w:rFonts w:ascii="宋体" w:hAnsi="宋体" w:eastAsia="宋体" w:cs="宋体"/>
          <w:b/>
          <w:bCs/>
          <w:sz w:val="24"/>
        </w:rPr>
      </w:pPr>
      <w:r>
        <w:rPr>
          <w:rFonts w:hint="eastAsia" w:ascii="宋体" w:hAnsi="宋体" w:eastAsia="宋体" w:cs="宋体"/>
          <w:b/>
          <w:bCs/>
          <w:sz w:val="24"/>
        </w:rPr>
        <w:t>投资组合情况</w:t>
      </w:r>
    </w:p>
    <w:p w14:paraId="48C99B79">
      <w:pPr>
        <w:numPr>
          <w:ilvl w:val="0"/>
          <w:numId w:val="3"/>
        </w:numPr>
        <w:spacing w:line="480" w:lineRule="auto"/>
        <w:rPr>
          <w:rFonts w:ascii="宋体" w:hAnsi="宋体" w:eastAsia="宋体" w:cs="宋体"/>
          <w:b/>
          <w:bCs/>
          <w:sz w:val="24"/>
        </w:rPr>
      </w:pPr>
      <w:r>
        <w:rPr>
          <w:rFonts w:hint="eastAsia" w:ascii="宋体" w:hAnsi="宋体" w:eastAsia="宋体" w:cs="宋体"/>
          <w:b/>
          <w:bCs/>
          <w:sz w:val="24"/>
        </w:rPr>
        <w:t>投资组合详细情况</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320"/>
        <w:gridCol w:w="1395"/>
        <w:gridCol w:w="1425"/>
        <w:gridCol w:w="1433"/>
      </w:tblGrid>
      <w:tr w14:paraId="5E26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restart"/>
            <w:vAlign w:val="center"/>
          </w:tcPr>
          <w:p w14:paraId="30959BE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资产类型</w:t>
            </w:r>
          </w:p>
        </w:tc>
        <w:tc>
          <w:tcPr>
            <w:tcW w:w="2715" w:type="dxa"/>
            <w:gridSpan w:val="2"/>
          </w:tcPr>
          <w:p w14:paraId="34ED701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直接投资</w:t>
            </w:r>
          </w:p>
        </w:tc>
        <w:tc>
          <w:tcPr>
            <w:tcW w:w="2858" w:type="dxa"/>
            <w:gridSpan w:val="2"/>
          </w:tcPr>
          <w:p w14:paraId="588D4348">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间接投资</w:t>
            </w:r>
          </w:p>
        </w:tc>
      </w:tr>
      <w:tr w14:paraId="61C9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vMerge w:val="continue"/>
          </w:tcPr>
          <w:p w14:paraId="6E01E6F8">
            <w:pPr>
              <w:spacing w:line="480" w:lineRule="auto"/>
              <w:rPr>
                <w:rFonts w:ascii="宋体" w:hAnsi="宋体" w:eastAsia="宋体" w:cs="宋体"/>
                <w:b/>
                <w:bCs/>
                <w:kern w:val="0"/>
                <w:sz w:val="24"/>
                <w:szCs w:val="20"/>
              </w:rPr>
            </w:pPr>
          </w:p>
        </w:tc>
        <w:tc>
          <w:tcPr>
            <w:tcW w:w="1320" w:type="dxa"/>
            <w:vAlign w:val="center"/>
          </w:tcPr>
          <w:p w14:paraId="17EB2C4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395" w:type="dxa"/>
            <w:vAlign w:val="center"/>
          </w:tcPr>
          <w:p w14:paraId="0DAC2A9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c>
          <w:tcPr>
            <w:tcW w:w="1425" w:type="dxa"/>
            <w:vAlign w:val="center"/>
          </w:tcPr>
          <w:p w14:paraId="704011F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1433" w:type="dxa"/>
            <w:vAlign w:val="center"/>
          </w:tcPr>
          <w:p w14:paraId="1092BAD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投资比例(%)</w:t>
            </w:r>
          </w:p>
        </w:tc>
      </w:tr>
      <w:tr w14:paraId="5BBA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4143FA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固定收益类资产：</w:t>
            </w:r>
          </w:p>
        </w:tc>
        <w:tc>
          <w:tcPr>
            <w:tcW w:w="1320" w:type="dxa"/>
            <w:vAlign w:val="center"/>
          </w:tcPr>
          <w:p w14:paraId="21C15ECC">
            <w:pPr>
              <w:widowControl/>
              <w:jc w:val="center"/>
              <w:textAlignment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817.92</w:t>
            </w:r>
          </w:p>
        </w:tc>
        <w:tc>
          <w:tcPr>
            <w:tcW w:w="1395" w:type="dxa"/>
          </w:tcPr>
          <w:p w14:paraId="28948B6B">
            <w:pPr>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kern w:val="0"/>
                <w:sz w:val="24"/>
                <w:szCs w:val="20"/>
              </w:rPr>
              <w:t>100</w:t>
            </w:r>
          </w:p>
        </w:tc>
        <w:tc>
          <w:tcPr>
            <w:tcW w:w="1425" w:type="dxa"/>
            <w:vAlign w:val="center"/>
          </w:tcPr>
          <w:p w14:paraId="7214F9F6">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995.92</w:t>
            </w:r>
          </w:p>
        </w:tc>
        <w:tc>
          <w:tcPr>
            <w:tcW w:w="1433" w:type="dxa"/>
            <w:vAlign w:val="center"/>
          </w:tcPr>
          <w:p w14:paraId="560AA4B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r w14:paraId="4849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F3A6B6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债券</w:t>
            </w:r>
          </w:p>
        </w:tc>
        <w:tc>
          <w:tcPr>
            <w:tcW w:w="1320" w:type="dxa"/>
          </w:tcPr>
          <w:p w14:paraId="08D15C40">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2980F7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3BF07B12">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994.50</w:t>
            </w:r>
          </w:p>
        </w:tc>
        <w:tc>
          <w:tcPr>
            <w:tcW w:w="1433" w:type="dxa"/>
            <w:vAlign w:val="center"/>
          </w:tcPr>
          <w:p w14:paraId="4ED6F451">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99.86 </w:t>
            </w:r>
          </w:p>
        </w:tc>
      </w:tr>
      <w:tr w14:paraId="7968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640754F6">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存款</w:t>
            </w:r>
          </w:p>
        </w:tc>
        <w:tc>
          <w:tcPr>
            <w:tcW w:w="1320" w:type="dxa"/>
          </w:tcPr>
          <w:p w14:paraId="298BAE8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C35C99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B3A5C94">
            <w:pPr>
              <w:spacing w:line="480" w:lineRule="auto"/>
              <w:jc w:val="center"/>
              <w:rPr>
                <w:rFonts w:hint="default"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1.42</w:t>
            </w:r>
          </w:p>
        </w:tc>
        <w:tc>
          <w:tcPr>
            <w:tcW w:w="1433" w:type="dxa"/>
            <w:vAlign w:val="center"/>
          </w:tcPr>
          <w:p w14:paraId="58C6A03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0.14 </w:t>
            </w:r>
          </w:p>
        </w:tc>
      </w:tr>
      <w:tr w14:paraId="7E8E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77A6E84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买入返售金融资产</w:t>
            </w:r>
          </w:p>
        </w:tc>
        <w:tc>
          <w:tcPr>
            <w:tcW w:w="1320" w:type="dxa"/>
          </w:tcPr>
          <w:p w14:paraId="6752C4C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0D4EFD7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vAlign w:val="center"/>
          </w:tcPr>
          <w:p w14:paraId="7D617112">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7F414425">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1C0F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7A1607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资产管理产品</w:t>
            </w:r>
          </w:p>
        </w:tc>
        <w:tc>
          <w:tcPr>
            <w:tcW w:w="1320" w:type="dxa"/>
            <w:vAlign w:val="center"/>
          </w:tcPr>
          <w:p w14:paraId="49156C4A">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817.92</w:t>
            </w:r>
            <w:r>
              <w:rPr>
                <w:rFonts w:hint="eastAsia" w:ascii="宋体" w:hAnsi="宋体" w:eastAsia="宋体" w:cs="宋体"/>
                <w:b/>
                <w:bCs/>
                <w:color w:val="000000"/>
                <w:kern w:val="0"/>
                <w:sz w:val="24"/>
                <w:szCs w:val="20"/>
                <w:lang w:bidi="ar"/>
              </w:rPr>
              <w:t xml:space="preserve">  </w:t>
            </w:r>
          </w:p>
        </w:tc>
        <w:tc>
          <w:tcPr>
            <w:tcW w:w="1395" w:type="dxa"/>
          </w:tcPr>
          <w:p w14:paraId="19D3EA9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311F089">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vAlign w:val="center"/>
          </w:tcPr>
          <w:p w14:paraId="413268B4">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r>
      <w:tr w14:paraId="59CC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EF3C11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其他债权类资产</w:t>
            </w:r>
          </w:p>
        </w:tc>
        <w:tc>
          <w:tcPr>
            <w:tcW w:w="1320" w:type="dxa"/>
          </w:tcPr>
          <w:p w14:paraId="2509CA6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17C551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7161F8C">
            <w:pPr>
              <w:spacing w:line="480" w:lineRule="auto"/>
              <w:jc w:val="center"/>
              <w:rPr>
                <w:rFonts w:hint="eastAsia" w:ascii="宋体" w:hAnsi="宋体" w:eastAsia="宋体" w:cs="宋体"/>
                <w:b/>
                <w:bCs/>
                <w:kern w:val="0"/>
                <w:sz w:val="24"/>
                <w:szCs w:val="20"/>
                <w:lang w:val="en-US" w:eastAsia="zh-CN"/>
              </w:rPr>
            </w:pPr>
            <w:r>
              <w:rPr>
                <w:rFonts w:hint="eastAsia" w:ascii="宋体" w:hAnsi="宋体" w:eastAsia="宋体" w:cs="宋体"/>
                <w:b/>
                <w:bCs/>
                <w:kern w:val="0"/>
                <w:sz w:val="24"/>
                <w:szCs w:val="20"/>
                <w:lang w:val="en-US" w:eastAsia="zh-CN"/>
              </w:rPr>
              <w:t>0</w:t>
            </w:r>
          </w:p>
        </w:tc>
        <w:tc>
          <w:tcPr>
            <w:tcW w:w="1433" w:type="dxa"/>
          </w:tcPr>
          <w:p w14:paraId="118B72C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5182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D5ED525">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权益类资产：</w:t>
            </w:r>
          </w:p>
        </w:tc>
        <w:tc>
          <w:tcPr>
            <w:tcW w:w="1320" w:type="dxa"/>
          </w:tcPr>
          <w:p w14:paraId="48BB0D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208A411">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2508B9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9D85D9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106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4F5B411E">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股票</w:t>
            </w:r>
          </w:p>
        </w:tc>
        <w:tc>
          <w:tcPr>
            <w:tcW w:w="1320" w:type="dxa"/>
          </w:tcPr>
          <w:p w14:paraId="14B0A4F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2D2863A7">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0A756D4">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4378485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CB4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2259A0B9">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其他股权资产</w:t>
            </w:r>
          </w:p>
        </w:tc>
        <w:tc>
          <w:tcPr>
            <w:tcW w:w="1320" w:type="dxa"/>
          </w:tcPr>
          <w:p w14:paraId="763F81F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65684273">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9A61F2E">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79D777F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0497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5C0EDBB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商品及金融衍生品资产：</w:t>
            </w:r>
          </w:p>
        </w:tc>
        <w:tc>
          <w:tcPr>
            <w:tcW w:w="1320" w:type="dxa"/>
          </w:tcPr>
          <w:p w14:paraId="565E31E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42ADBD8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24454B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1F6F1756">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2F33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049AF53A">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商品</w:t>
            </w:r>
          </w:p>
        </w:tc>
        <w:tc>
          <w:tcPr>
            <w:tcW w:w="1320" w:type="dxa"/>
          </w:tcPr>
          <w:p w14:paraId="71293A5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51C61FF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1848CFF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59DB7E8A">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47C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163F2C9D">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金融衍生品</w:t>
            </w:r>
          </w:p>
        </w:tc>
        <w:tc>
          <w:tcPr>
            <w:tcW w:w="1320" w:type="dxa"/>
          </w:tcPr>
          <w:p w14:paraId="248E28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395" w:type="dxa"/>
          </w:tcPr>
          <w:p w14:paraId="313CF8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25" w:type="dxa"/>
          </w:tcPr>
          <w:p w14:paraId="5CD9642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c>
          <w:tcPr>
            <w:tcW w:w="1433" w:type="dxa"/>
          </w:tcPr>
          <w:p w14:paraId="247CD7BC">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0</w:t>
            </w:r>
          </w:p>
        </w:tc>
      </w:tr>
      <w:tr w14:paraId="399B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14:paraId="3DFCDACB">
            <w:pPr>
              <w:spacing w:line="480" w:lineRule="auto"/>
              <w:rPr>
                <w:rFonts w:ascii="宋体" w:hAnsi="宋体" w:eastAsia="宋体" w:cs="宋体"/>
                <w:b/>
                <w:bCs/>
                <w:kern w:val="0"/>
                <w:sz w:val="24"/>
                <w:szCs w:val="20"/>
              </w:rPr>
            </w:pPr>
            <w:r>
              <w:rPr>
                <w:rFonts w:hint="eastAsia" w:ascii="宋体" w:hAnsi="宋体" w:eastAsia="宋体" w:cs="宋体"/>
                <w:b/>
                <w:bCs/>
                <w:kern w:val="0"/>
                <w:sz w:val="24"/>
                <w:szCs w:val="20"/>
              </w:rPr>
              <w:t>合计：</w:t>
            </w:r>
          </w:p>
        </w:tc>
        <w:tc>
          <w:tcPr>
            <w:tcW w:w="1320" w:type="dxa"/>
            <w:vAlign w:val="center"/>
          </w:tcPr>
          <w:p w14:paraId="5409B0E0">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817.92</w:t>
            </w:r>
            <w:r>
              <w:rPr>
                <w:rFonts w:hint="eastAsia" w:ascii="宋体" w:hAnsi="宋体" w:eastAsia="宋体" w:cs="宋体"/>
                <w:b/>
                <w:bCs/>
                <w:color w:val="000000"/>
                <w:kern w:val="0"/>
                <w:sz w:val="24"/>
                <w:szCs w:val="20"/>
                <w:lang w:bidi="ar"/>
              </w:rPr>
              <w:t xml:space="preserve"> </w:t>
            </w:r>
          </w:p>
        </w:tc>
        <w:tc>
          <w:tcPr>
            <w:tcW w:w="1395" w:type="dxa"/>
          </w:tcPr>
          <w:p w14:paraId="62315B3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c>
          <w:tcPr>
            <w:tcW w:w="1425" w:type="dxa"/>
            <w:vAlign w:val="center"/>
          </w:tcPr>
          <w:p w14:paraId="3E606025">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lang w:val="en-US" w:eastAsia="zh-CN"/>
              </w:rPr>
              <w:t>995.92</w:t>
            </w:r>
          </w:p>
        </w:tc>
        <w:tc>
          <w:tcPr>
            <w:tcW w:w="1433" w:type="dxa"/>
            <w:vAlign w:val="center"/>
          </w:tcPr>
          <w:p w14:paraId="7797EB02">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100</w:t>
            </w:r>
          </w:p>
        </w:tc>
      </w:tr>
    </w:tbl>
    <w:p w14:paraId="4429E5DE">
      <w:pPr>
        <w:numPr>
          <w:ilvl w:val="0"/>
          <w:numId w:val="3"/>
        </w:numPr>
        <w:spacing w:line="480" w:lineRule="auto"/>
        <w:rPr>
          <w:rFonts w:ascii="宋体" w:hAnsi="宋体" w:eastAsia="宋体" w:cs="宋体"/>
          <w:b/>
          <w:bCs/>
          <w:sz w:val="24"/>
        </w:rPr>
      </w:pPr>
      <w:r>
        <w:rPr>
          <w:rFonts w:hint="eastAsia" w:ascii="宋体" w:hAnsi="宋体" w:eastAsia="宋体" w:cs="宋体"/>
          <w:b/>
          <w:bCs/>
          <w:sz w:val="24"/>
        </w:rPr>
        <w:t>产品流动性风险分析</w:t>
      </w:r>
    </w:p>
    <w:p w14:paraId="4C2E0CC7">
      <w:pPr>
        <w:spacing w:line="480" w:lineRule="auto"/>
        <w:rPr>
          <w:rFonts w:ascii="宋体" w:hAnsi="宋体" w:eastAsia="宋体" w:cs="宋体"/>
          <w:b/>
          <w:bCs/>
          <w:sz w:val="24"/>
        </w:rPr>
      </w:pPr>
      <w:r>
        <w:rPr>
          <w:rFonts w:hint="eastAsia" w:ascii="宋体" w:hAnsi="宋体" w:eastAsia="宋体" w:cs="宋体"/>
          <w:b/>
          <w:bCs/>
          <w:sz w:val="24"/>
        </w:rPr>
        <w:t xml:space="preserve">    流动性风险是指产品在履行与金融负债有关的义务时遇到资金短缺的风险。本产品的流动性风险一方面来自于产品份额持有人可在开放期要求赎回其持有的产品份额，另一方面来自于若投资品种所处的交易市场不活跃，可能带来资产变现困难或产品持仓资产在市场出现剧烈波动的情况下难以以合理价格变现的风险。</w:t>
      </w:r>
    </w:p>
    <w:p w14:paraId="4B06595E">
      <w:pPr>
        <w:spacing w:line="480" w:lineRule="auto"/>
        <w:ind w:firstLine="482" w:firstLineChars="200"/>
        <w:rPr>
          <w:rFonts w:ascii="宋体" w:hAnsi="宋体" w:eastAsia="宋体" w:cs="宋体"/>
          <w:b/>
          <w:bCs/>
          <w:sz w:val="24"/>
        </w:rPr>
      </w:pPr>
      <w:r>
        <w:rPr>
          <w:rFonts w:hint="eastAsia" w:ascii="宋体" w:hAnsi="宋体" w:eastAsia="宋体" w:cs="宋体"/>
          <w:b/>
          <w:bCs/>
          <w:sz w:val="24"/>
        </w:rPr>
        <w:t>为防范无法支付到期赎回款而产生的流动性风险，本产品管理人将合理安排所投资产期限，产品到期前完成所投资组合中相关资产变现，尽可能降低产品流动性风险，有效保障产品持有人利益。</w:t>
      </w:r>
    </w:p>
    <w:p w14:paraId="3AAD45ED">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四、报告期末前十项资产明细 </w:t>
      </w:r>
    </w:p>
    <w:p w14:paraId="438BF330">
      <w:pPr>
        <w:widowControl/>
        <w:spacing w:line="480" w:lineRule="auto"/>
        <w:ind w:firstLine="482" w:firstLineChars="200"/>
        <w:jc w:val="left"/>
        <w:rPr>
          <w:rFonts w:ascii="宋体" w:hAnsi="宋体" w:eastAsia="宋体" w:cs="宋体"/>
          <w:sz w:val="24"/>
        </w:rPr>
      </w:pPr>
      <w:r>
        <w:rPr>
          <w:rFonts w:hint="eastAsia" w:ascii="宋体" w:hAnsi="宋体" w:eastAsia="宋体" w:cs="宋体"/>
          <w:b/>
          <w:color w:val="000000"/>
          <w:kern w:val="0"/>
          <w:sz w:val="24"/>
          <w:lang w:bidi="ar"/>
        </w:rPr>
        <w:t xml:space="preserve">（一）直接投资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7"/>
        <w:gridCol w:w="2841"/>
      </w:tblGrid>
      <w:tr w14:paraId="62E8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0E4BFA7F">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资产名称</w:t>
            </w:r>
          </w:p>
        </w:tc>
        <w:tc>
          <w:tcPr>
            <w:tcW w:w="2597" w:type="dxa"/>
            <w:vAlign w:val="center"/>
          </w:tcPr>
          <w:p w14:paraId="07E47FEA">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资产规模(万元)</w:t>
            </w:r>
          </w:p>
        </w:tc>
        <w:tc>
          <w:tcPr>
            <w:tcW w:w="2841" w:type="dxa"/>
            <w:vAlign w:val="center"/>
          </w:tcPr>
          <w:p w14:paraId="2BCA6A7E">
            <w:pPr>
              <w:widowControl/>
              <w:spacing w:line="480" w:lineRule="auto"/>
              <w:jc w:val="center"/>
              <w:rPr>
                <w:rFonts w:ascii="宋体" w:hAnsi="宋体" w:eastAsia="宋体" w:cs="宋体"/>
                <w:b/>
                <w:color w:val="000000"/>
                <w:kern w:val="0"/>
                <w:sz w:val="24"/>
                <w:szCs w:val="20"/>
                <w:lang w:bidi="ar"/>
              </w:rPr>
            </w:pPr>
            <w:r>
              <w:rPr>
                <w:rFonts w:hint="eastAsia" w:ascii="宋体" w:hAnsi="宋体" w:eastAsia="宋体" w:cs="宋体"/>
                <w:b/>
                <w:color w:val="000000"/>
                <w:kern w:val="0"/>
                <w:sz w:val="24"/>
                <w:szCs w:val="20"/>
                <w:lang w:bidi="ar"/>
              </w:rPr>
              <w:t>占产品资产净值比例</w:t>
            </w:r>
          </w:p>
        </w:tc>
      </w:tr>
      <w:tr w14:paraId="06C9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4" w:type="dxa"/>
            <w:vAlign w:val="center"/>
          </w:tcPr>
          <w:p w14:paraId="79262A30">
            <w:pPr>
              <w:widowControl/>
              <w:spacing w:line="480" w:lineRule="auto"/>
              <w:jc w:val="center"/>
              <w:rPr>
                <w:rFonts w:ascii="宋体" w:hAnsi="宋体" w:eastAsia="宋体" w:cs="宋体"/>
                <w:b/>
                <w:bCs/>
                <w:color w:val="000000"/>
                <w:kern w:val="0"/>
                <w:sz w:val="24"/>
                <w:szCs w:val="20"/>
                <w:lang w:bidi="ar"/>
              </w:rPr>
            </w:pPr>
            <w:r>
              <w:rPr>
                <w:rFonts w:ascii="宋体" w:hAnsi="宋体" w:eastAsia="宋体" w:cs="宋体"/>
                <w:b/>
                <w:bCs/>
                <w:color w:val="000000"/>
                <w:kern w:val="0"/>
                <w:sz w:val="24"/>
                <w:szCs w:val="20"/>
                <w:lang w:bidi="ar"/>
              </w:rPr>
              <w:t>兴证资管恒利10号集合资产管理计划</w:t>
            </w:r>
          </w:p>
        </w:tc>
        <w:tc>
          <w:tcPr>
            <w:tcW w:w="2597" w:type="dxa"/>
            <w:vAlign w:val="center"/>
          </w:tcPr>
          <w:p w14:paraId="56CD1619">
            <w:pPr>
              <w:widowControl/>
              <w:jc w:val="center"/>
              <w:textAlignment w:val="center"/>
              <w:rPr>
                <w:rFonts w:ascii="宋体" w:hAnsi="宋体" w:eastAsia="宋体" w:cs="宋体"/>
                <w:b/>
                <w:bCs/>
                <w:color w:val="000000"/>
                <w:kern w:val="0"/>
                <w:sz w:val="24"/>
                <w:szCs w:val="20"/>
              </w:rPr>
            </w:pPr>
            <w:r>
              <w:rPr>
                <w:rFonts w:ascii="宋体" w:hAnsi="宋体" w:eastAsia="宋体" w:cs="宋体"/>
                <w:b/>
                <w:bCs/>
                <w:color w:val="000000"/>
                <w:kern w:val="0"/>
                <w:sz w:val="24"/>
                <w:szCs w:val="20"/>
                <w:lang w:bidi="ar"/>
              </w:rPr>
              <w:t>817.92</w:t>
            </w:r>
            <w:r>
              <w:rPr>
                <w:rFonts w:hint="eastAsia" w:ascii="宋体" w:hAnsi="宋体" w:eastAsia="宋体" w:cs="宋体"/>
                <w:b/>
                <w:bCs/>
                <w:color w:val="000000"/>
                <w:kern w:val="0"/>
                <w:sz w:val="24"/>
                <w:szCs w:val="20"/>
                <w:lang w:bidi="ar"/>
              </w:rPr>
              <w:t xml:space="preserve">  </w:t>
            </w:r>
          </w:p>
        </w:tc>
        <w:tc>
          <w:tcPr>
            <w:tcW w:w="2841" w:type="dxa"/>
            <w:vAlign w:val="center"/>
          </w:tcPr>
          <w:p w14:paraId="20AD5996">
            <w:pPr>
              <w:widowControl/>
              <w:spacing w:line="480" w:lineRule="auto"/>
              <w:jc w:val="center"/>
              <w:rPr>
                <w:rFonts w:ascii="宋体" w:hAnsi="宋体" w:eastAsia="宋体" w:cs="宋体"/>
                <w:b/>
                <w:bCs/>
                <w:color w:val="000000"/>
                <w:kern w:val="0"/>
                <w:sz w:val="24"/>
                <w:szCs w:val="20"/>
                <w:lang w:bidi="ar"/>
              </w:rPr>
            </w:pPr>
            <w:r>
              <w:rPr>
                <w:rFonts w:hint="eastAsia" w:ascii="宋体" w:hAnsi="宋体" w:eastAsia="宋体" w:cs="宋体"/>
                <w:b/>
                <w:bCs/>
                <w:color w:val="000000"/>
                <w:kern w:val="0"/>
                <w:sz w:val="24"/>
                <w:szCs w:val="20"/>
                <w:lang w:bidi="ar"/>
              </w:rPr>
              <w:t>100%</w:t>
            </w:r>
          </w:p>
        </w:tc>
      </w:tr>
    </w:tbl>
    <w:p w14:paraId="5D8E3C54">
      <w:pPr>
        <w:widowControl/>
        <w:spacing w:line="480" w:lineRule="auto"/>
        <w:jc w:val="left"/>
        <w:rPr>
          <w:rFonts w:ascii="宋体" w:hAnsi="宋体" w:eastAsia="宋体" w:cs="宋体"/>
          <w:sz w:val="24"/>
        </w:rPr>
      </w:pPr>
      <w:r>
        <w:rPr>
          <w:rFonts w:hint="eastAsia" w:ascii="宋体" w:hAnsi="宋体" w:eastAsia="宋体" w:cs="宋体"/>
          <w:b/>
          <w:color w:val="000000"/>
          <w:kern w:val="0"/>
          <w:sz w:val="24"/>
          <w:lang w:bidi="ar"/>
        </w:rPr>
        <w:t xml:space="preserve">    （二）间接投资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2110"/>
        <w:gridCol w:w="2841"/>
      </w:tblGrid>
      <w:tr w14:paraId="1559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571" w:type="dxa"/>
          </w:tcPr>
          <w:p w14:paraId="6FE00F3D">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资产名称</w:t>
            </w:r>
          </w:p>
        </w:tc>
        <w:tc>
          <w:tcPr>
            <w:tcW w:w="2110" w:type="dxa"/>
          </w:tcPr>
          <w:p w14:paraId="199EEF0F">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资产规模(万元)</w:t>
            </w:r>
          </w:p>
        </w:tc>
        <w:tc>
          <w:tcPr>
            <w:tcW w:w="2841" w:type="dxa"/>
          </w:tcPr>
          <w:p w14:paraId="72F780AB">
            <w:pPr>
              <w:spacing w:line="480" w:lineRule="auto"/>
              <w:jc w:val="center"/>
              <w:rPr>
                <w:rFonts w:ascii="宋体" w:hAnsi="宋体" w:eastAsia="宋体" w:cs="宋体"/>
                <w:b/>
                <w:bCs/>
                <w:kern w:val="0"/>
                <w:sz w:val="24"/>
                <w:szCs w:val="20"/>
              </w:rPr>
            </w:pPr>
            <w:r>
              <w:rPr>
                <w:rFonts w:hint="eastAsia" w:ascii="宋体" w:hAnsi="宋体" w:eastAsia="宋体" w:cs="宋体"/>
                <w:b/>
                <w:bCs/>
                <w:kern w:val="0"/>
                <w:sz w:val="24"/>
                <w:szCs w:val="20"/>
              </w:rPr>
              <w:t>占产品资产净值比例（%）</w:t>
            </w:r>
          </w:p>
        </w:tc>
      </w:tr>
      <w:tr w14:paraId="64D5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1" w:type="dxa"/>
            <w:vAlign w:val="center"/>
          </w:tcPr>
          <w:p w14:paraId="7CFFD12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19峨眉山旅游NPB01</w:t>
            </w:r>
          </w:p>
        </w:tc>
        <w:tc>
          <w:tcPr>
            <w:tcW w:w="2110" w:type="dxa"/>
            <w:vAlign w:val="center"/>
          </w:tcPr>
          <w:p w14:paraId="518C2FC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44.28 </w:t>
            </w:r>
          </w:p>
        </w:tc>
        <w:tc>
          <w:tcPr>
            <w:tcW w:w="2841" w:type="dxa"/>
            <w:vAlign w:val="center"/>
          </w:tcPr>
          <w:p w14:paraId="41B4AE6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5.41 </w:t>
            </w:r>
          </w:p>
        </w:tc>
      </w:tr>
      <w:tr w14:paraId="6E5B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54FB81C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24大足发展PPN002</w:t>
            </w:r>
          </w:p>
        </w:tc>
        <w:tc>
          <w:tcPr>
            <w:tcW w:w="2110" w:type="dxa"/>
            <w:vAlign w:val="center"/>
          </w:tcPr>
          <w:p w14:paraId="7622C35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35.09 </w:t>
            </w:r>
          </w:p>
        </w:tc>
        <w:tc>
          <w:tcPr>
            <w:tcW w:w="2841" w:type="dxa"/>
            <w:vAlign w:val="center"/>
          </w:tcPr>
          <w:p w14:paraId="17D3942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4.29 </w:t>
            </w:r>
          </w:p>
        </w:tc>
      </w:tr>
      <w:tr w14:paraId="350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703394E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24华靖资产MTN005</w:t>
            </w:r>
          </w:p>
        </w:tc>
        <w:tc>
          <w:tcPr>
            <w:tcW w:w="2110" w:type="dxa"/>
            <w:vAlign w:val="center"/>
          </w:tcPr>
          <w:p w14:paraId="20FAE714">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33.66 </w:t>
            </w:r>
          </w:p>
        </w:tc>
        <w:tc>
          <w:tcPr>
            <w:tcW w:w="2841" w:type="dxa"/>
            <w:vAlign w:val="center"/>
          </w:tcPr>
          <w:p w14:paraId="0F0972DC">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4.12 </w:t>
            </w:r>
          </w:p>
        </w:tc>
      </w:tr>
      <w:tr w14:paraId="5F63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379783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24大足发展PPN003</w:t>
            </w:r>
          </w:p>
        </w:tc>
        <w:tc>
          <w:tcPr>
            <w:tcW w:w="2110" w:type="dxa"/>
            <w:vAlign w:val="center"/>
          </w:tcPr>
          <w:p w14:paraId="1898BF9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21.92 </w:t>
            </w:r>
          </w:p>
        </w:tc>
        <w:tc>
          <w:tcPr>
            <w:tcW w:w="2841" w:type="dxa"/>
            <w:vAlign w:val="center"/>
          </w:tcPr>
          <w:p w14:paraId="171C7F8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2.68 </w:t>
            </w:r>
          </w:p>
        </w:tc>
      </w:tr>
      <w:tr w14:paraId="2445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4F4AEE9F">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24安控08</w:t>
            </w:r>
          </w:p>
        </w:tc>
        <w:tc>
          <w:tcPr>
            <w:tcW w:w="2110" w:type="dxa"/>
            <w:vAlign w:val="center"/>
          </w:tcPr>
          <w:p w14:paraId="159541F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21.81 </w:t>
            </w:r>
          </w:p>
        </w:tc>
        <w:tc>
          <w:tcPr>
            <w:tcW w:w="2841" w:type="dxa"/>
            <w:vAlign w:val="center"/>
          </w:tcPr>
          <w:p w14:paraId="0ECBFA1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2.67 </w:t>
            </w:r>
          </w:p>
        </w:tc>
      </w:tr>
      <w:tr w14:paraId="7BB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3FAFE5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24合川投资MTN001</w:t>
            </w:r>
          </w:p>
        </w:tc>
        <w:tc>
          <w:tcPr>
            <w:tcW w:w="2110" w:type="dxa"/>
            <w:vAlign w:val="center"/>
          </w:tcPr>
          <w:p w14:paraId="6250C1DD">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21.41 </w:t>
            </w:r>
          </w:p>
        </w:tc>
        <w:tc>
          <w:tcPr>
            <w:tcW w:w="2841" w:type="dxa"/>
            <w:vAlign w:val="center"/>
          </w:tcPr>
          <w:p w14:paraId="0E87847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7FE6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B7E0B9A">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24乐山高新PPN001(资产担保)</w:t>
            </w:r>
          </w:p>
        </w:tc>
        <w:tc>
          <w:tcPr>
            <w:tcW w:w="2110" w:type="dxa"/>
            <w:vAlign w:val="center"/>
          </w:tcPr>
          <w:p w14:paraId="252AB31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21.40 </w:t>
            </w:r>
          </w:p>
        </w:tc>
        <w:tc>
          <w:tcPr>
            <w:tcW w:w="2841" w:type="dxa"/>
            <w:vAlign w:val="center"/>
          </w:tcPr>
          <w:p w14:paraId="63E07D1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2.62 </w:t>
            </w:r>
          </w:p>
        </w:tc>
      </w:tr>
      <w:tr w14:paraId="0610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20D479D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21成都兴旅PPN001</w:t>
            </w:r>
          </w:p>
        </w:tc>
        <w:tc>
          <w:tcPr>
            <w:tcW w:w="2110" w:type="dxa"/>
            <w:vAlign w:val="center"/>
          </w:tcPr>
          <w:p w14:paraId="25C2FDA3">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21.33 </w:t>
            </w:r>
          </w:p>
        </w:tc>
        <w:tc>
          <w:tcPr>
            <w:tcW w:w="2841" w:type="dxa"/>
            <w:vAlign w:val="center"/>
          </w:tcPr>
          <w:p w14:paraId="32000F75">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2.61 </w:t>
            </w:r>
          </w:p>
        </w:tc>
      </w:tr>
      <w:tr w14:paraId="75DB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1965834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24联投资本PPN001</w:t>
            </w:r>
          </w:p>
        </w:tc>
        <w:tc>
          <w:tcPr>
            <w:tcW w:w="2110" w:type="dxa"/>
            <w:vAlign w:val="center"/>
          </w:tcPr>
          <w:p w14:paraId="13E49B1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21.23 </w:t>
            </w:r>
          </w:p>
        </w:tc>
        <w:tc>
          <w:tcPr>
            <w:tcW w:w="2841" w:type="dxa"/>
            <w:vAlign w:val="center"/>
          </w:tcPr>
          <w:p w14:paraId="0472E546">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2.60 </w:t>
            </w:r>
          </w:p>
        </w:tc>
      </w:tr>
      <w:tr w14:paraId="77F2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1" w:type="dxa"/>
            <w:vAlign w:val="center"/>
          </w:tcPr>
          <w:p w14:paraId="620D4157">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25圆山01</w:t>
            </w:r>
          </w:p>
        </w:tc>
        <w:tc>
          <w:tcPr>
            <w:tcW w:w="2110" w:type="dxa"/>
            <w:vAlign w:val="center"/>
          </w:tcPr>
          <w:p w14:paraId="5F5FE152">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21.12 </w:t>
            </w:r>
          </w:p>
        </w:tc>
        <w:tc>
          <w:tcPr>
            <w:tcW w:w="2841" w:type="dxa"/>
            <w:vAlign w:val="center"/>
          </w:tcPr>
          <w:p w14:paraId="6C3D5E00">
            <w:pPr>
              <w:spacing w:line="480" w:lineRule="auto"/>
              <w:jc w:val="center"/>
              <w:rPr>
                <w:rFonts w:hint="eastAsia" w:ascii="宋体" w:hAnsi="宋体" w:eastAsia="宋体" w:cs="宋体"/>
                <w:b/>
                <w:bCs/>
                <w:kern w:val="0"/>
                <w:sz w:val="24"/>
                <w:szCs w:val="20"/>
              </w:rPr>
            </w:pPr>
            <w:r>
              <w:rPr>
                <w:rFonts w:hint="eastAsia" w:ascii="宋体" w:hAnsi="宋体" w:eastAsia="宋体" w:cs="宋体"/>
                <w:b/>
                <w:bCs/>
                <w:kern w:val="0"/>
                <w:sz w:val="24"/>
                <w:szCs w:val="20"/>
                <w:lang w:val="en-US" w:eastAsia="zh-CN"/>
              </w:rPr>
              <w:t xml:space="preserve">2.58 </w:t>
            </w:r>
          </w:p>
        </w:tc>
      </w:tr>
    </w:tbl>
    <w:p w14:paraId="5171D76E">
      <w:pPr>
        <w:spacing w:line="480" w:lineRule="auto"/>
        <w:rPr>
          <w:rFonts w:ascii="宋体" w:hAnsi="宋体" w:eastAsia="宋体" w:cs="宋体"/>
          <w:b/>
          <w:bCs/>
          <w:sz w:val="24"/>
        </w:rPr>
      </w:pPr>
      <w:r>
        <w:rPr>
          <w:rFonts w:hint="eastAsia" w:ascii="宋体" w:hAnsi="宋体" w:eastAsia="宋体" w:cs="宋体"/>
          <w:b/>
          <w:bCs/>
          <w:sz w:val="24"/>
        </w:rPr>
        <w:t>备注：</w:t>
      </w:r>
    </w:p>
    <w:p w14:paraId="5C0A767E">
      <w:pPr>
        <w:spacing w:line="480" w:lineRule="auto"/>
        <w:rPr>
          <w:rFonts w:ascii="宋体" w:hAnsi="宋体" w:eastAsia="宋体" w:cs="宋体"/>
          <w:b/>
          <w:bCs/>
          <w:sz w:val="24"/>
        </w:rPr>
      </w:pPr>
      <w:r>
        <w:rPr>
          <w:rFonts w:hint="eastAsia" w:ascii="宋体" w:hAnsi="宋体" w:eastAsia="宋体" w:cs="宋体"/>
          <w:b/>
          <w:bCs/>
          <w:sz w:val="24"/>
        </w:rPr>
        <w:t xml:space="preserve">上述各类资产的投资占比，根据报告期末的实际运作情况计算得出，该资产配置会随后续实际投资情况动态变化。 </w:t>
      </w:r>
    </w:p>
    <w:p w14:paraId="45A8E9F5">
      <w:pPr>
        <w:spacing w:line="480" w:lineRule="auto"/>
        <w:rPr>
          <w:rFonts w:ascii="宋体" w:hAnsi="宋体" w:eastAsia="宋体" w:cs="宋体"/>
          <w:b/>
          <w:bCs/>
          <w:sz w:val="24"/>
        </w:rPr>
      </w:pPr>
      <w:r>
        <w:rPr>
          <w:rFonts w:hint="eastAsia" w:ascii="宋体" w:hAnsi="宋体" w:eastAsia="宋体" w:cs="宋体"/>
          <w:b/>
          <w:bCs/>
          <w:sz w:val="24"/>
        </w:rPr>
        <w:t>特此公告！</w:t>
      </w:r>
    </w:p>
    <w:p w14:paraId="7C02C3E0">
      <w:pPr>
        <w:spacing w:line="480" w:lineRule="auto"/>
        <w:rPr>
          <w:rFonts w:ascii="宋体" w:hAnsi="宋体" w:eastAsia="宋体" w:cs="宋体"/>
          <w:b/>
          <w:bCs/>
          <w:sz w:val="24"/>
        </w:rPr>
      </w:pPr>
    </w:p>
    <w:p w14:paraId="3DD1DFC2">
      <w:pPr>
        <w:spacing w:line="480" w:lineRule="auto"/>
        <w:rPr>
          <w:rFonts w:ascii="宋体" w:hAnsi="宋体" w:eastAsia="宋体" w:cs="宋体"/>
          <w:b/>
          <w:bCs/>
          <w:sz w:val="24"/>
        </w:rPr>
      </w:pPr>
    </w:p>
    <w:p w14:paraId="2AA52AD7">
      <w:pPr>
        <w:spacing w:line="480" w:lineRule="auto"/>
        <w:rPr>
          <w:rFonts w:ascii="宋体" w:hAnsi="宋体" w:eastAsia="宋体" w:cs="宋体"/>
          <w:b/>
          <w:bCs/>
          <w:sz w:val="24"/>
        </w:rPr>
      </w:pPr>
    </w:p>
    <w:p w14:paraId="013B942D">
      <w:pPr>
        <w:spacing w:line="480" w:lineRule="auto"/>
        <w:jc w:val="right"/>
        <w:rPr>
          <w:rFonts w:ascii="宋体" w:hAnsi="宋体" w:eastAsia="宋体" w:cs="宋体"/>
          <w:b/>
          <w:bCs/>
          <w:sz w:val="24"/>
        </w:rPr>
      </w:pPr>
      <w:r>
        <w:rPr>
          <w:rFonts w:hint="eastAsia" w:ascii="宋体" w:hAnsi="宋体" w:eastAsia="宋体" w:cs="宋体"/>
          <w:b/>
          <w:bCs/>
          <w:sz w:val="24"/>
        </w:rPr>
        <w:t xml:space="preserve">                                    浙江上虞农村商业银行股份有限公司</w:t>
      </w:r>
    </w:p>
    <w:p w14:paraId="0C471832">
      <w:pPr>
        <w:spacing w:line="480" w:lineRule="auto"/>
        <w:jc w:val="right"/>
        <w:rPr>
          <w:rFonts w:ascii="宋体" w:hAnsi="宋体" w:eastAsia="宋体" w:cs="宋体"/>
          <w:b/>
          <w:bCs/>
          <w:sz w:val="24"/>
        </w:rPr>
      </w:pPr>
      <w:r>
        <w:rPr>
          <w:rFonts w:hint="eastAsia" w:ascii="宋体" w:hAnsi="宋体" w:eastAsia="宋体" w:cs="宋体"/>
          <w:b/>
          <w:bCs/>
          <w:sz w:val="24"/>
        </w:rPr>
        <w:t>2025-4-15</w:t>
      </w:r>
    </w:p>
    <w:p w14:paraId="2ED0A2DC">
      <w:pPr>
        <w:spacing w:line="480" w:lineRule="auto"/>
        <w:rPr>
          <w:rFonts w:ascii="宋体" w:hAnsi="宋体" w:eastAsia="宋体" w:cs="宋体"/>
          <w:b/>
          <w:bCs/>
          <w:sz w:val="24"/>
        </w:rPr>
      </w:pPr>
    </w:p>
    <w:p w14:paraId="7AF4DAD4">
      <w:pPr>
        <w:spacing w:line="480" w:lineRule="auto"/>
        <w:rPr>
          <w:rFonts w:ascii="宋体" w:hAnsi="宋体" w:eastAsia="宋体" w:cs="宋体"/>
          <w:b/>
          <w:bCs/>
          <w:sz w:val="24"/>
        </w:rPr>
      </w:pPr>
    </w:p>
    <w:p w14:paraId="17CAD0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EC109"/>
    <w:multiLevelType w:val="singleLevel"/>
    <w:tmpl w:val="BFCEC109"/>
    <w:lvl w:ilvl="0" w:tentative="0">
      <w:start w:val="1"/>
      <w:numFmt w:val="chineseCounting"/>
      <w:suff w:val="nothing"/>
      <w:lvlText w:val="（%1）"/>
      <w:lvlJc w:val="left"/>
      <w:rPr>
        <w:rFonts w:hint="eastAsia"/>
      </w:rPr>
    </w:lvl>
  </w:abstractNum>
  <w:abstractNum w:abstractNumId="1">
    <w:nsid w:val="F53904FD"/>
    <w:multiLevelType w:val="singleLevel"/>
    <w:tmpl w:val="F53904FD"/>
    <w:lvl w:ilvl="0" w:tentative="0">
      <w:start w:val="1"/>
      <w:numFmt w:val="chineseCounting"/>
      <w:suff w:val="nothing"/>
      <w:lvlText w:val="%1、"/>
      <w:lvlJc w:val="left"/>
      <w:rPr>
        <w:rFonts w:hint="eastAsia"/>
      </w:rPr>
    </w:lvl>
  </w:abstractNum>
  <w:abstractNum w:abstractNumId="2">
    <w:nsid w:val="4081E792"/>
    <w:multiLevelType w:val="singleLevel"/>
    <w:tmpl w:val="4081E79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94"/>
    <w:rsid w:val="00EB162B"/>
    <w:rsid w:val="00F35B94"/>
    <w:rsid w:val="09006F89"/>
    <w:rsid w:val="793D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912</Words>
  <Characters>1075</Characters>
  <Lines>10</Lines>
  <Paragraphs>2</Paragraphs>
  <TotalTime>3</TotalTime>
  <ScaleCrop>false</ScaleCrop>
  <LinksUpToDate>false</LinksUpToDate>
  <CharactersWithSpaces>1132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2025-04-02T00:41:00Z</dcterms:created>
  <dc:creator>ADMIN</dc:creator>
  <cp:lastModifiedBy>Wenny</cp:lastModifiedBy>
  <dcterms:modified xsi:type="dcterms:W3CDTF">2025-04-08T02:37:39Z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eyJoZGlkIjoiMTI0NWFlYzc5YjA3NTIzNzRjZWMxOGQyZDhiM2RjZTYiLCJ1c2VySWQiOiIzMzA2Nzg5MzkifQ==</vt:lpwstr>
  </property>
  <property fmtid="{D5CDD505-2E9C-101B-9397-08002B2CF9AE}" pid="3" name="KSOProductBuildVer">
    <vt:lpwstr>2052-12.1.0.20784</vt:lpwstr>
  </property>
  <property fmtid="{D5CDD505-2E9C-101B-9397-08002B2CF9AE}" pid="4" name="ICV">
    <vt:lpwstr>8B0A6647043F46439ED4E58E9D17B4AB_12</vt:lpwstr>
  </property>
</Properties>
</file>