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尊敬的客户：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根据国务院2025年假期安排，2025年5月1日（周四）至2025年5月5日（周一）为劳动节假期，4月27日（周日）为调休工作日，为此我行部分代销理财产品开放期调整如下：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953"/>
        <w:gridCol w:w="1468"/>
        <w:gridCol w:w="110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申购/赎回申请日</w:t>
            </w:r>
          </w:p>
        </w:tc>
        <w:tc>
          <w:tcPr>
            <w:tcW w:w="1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确认日</w:t>
            </w:r>
          </w:p>
        </w:tc>
        <w:tc>
          <w:tcPr>
            <w:tcW w:w="11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申购起息日</w:t>
            </w:r>
          </w:p>
        </w:tc>
        <w:tc>
          <w:tcPr>
            <w:tcW w:w="14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赎回资金到账日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97" w:type="dxa"/>
            <w:vMerge w:val="restart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兴银理财添利系列】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【青银理财天天开薪系列】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【招银理财日日金系列】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【杭银理财钱包系列】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【信银理财天天利系列产品】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【上银理财易精灵】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【平安理财成长3号】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4月27日</w:t>
            </w:r>
          </w:p>
        </w:tc>
        <w:tc>
          <w:tcPr>
            <w:tcW w:w="11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4月27日</w:t>
            </w:r>
          </w:p>
        </w:tc>
        <w:tc>
          <w:tcPr>
            <w:tcW w:w="14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（含）——4月27日15:00前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（含）——4月30日15:00前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（含）——5月6日15:00前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9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【苏银启源现金系列】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【渝银理财渝快宝产品】</w:t>
            </w: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【杭银理财持有期系列产品】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【杭银理财35天客周产品】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【杭银理财天添益6期</w:t>
            </w:r>
            <w:r>
              <w:rPr>
                <w:rFonts w:hint="default"/>
                <w:vertAlign w:val="baseline"/>
                <w:lang w:val="en-US" w:eastAsia="zh-CN"/>
              </w:rPr>
              <w:t>Z</w:t>
            </w:r>
            <w:r>
              <w:rPr>
                <w:rFonts w:hint="eastAsia"/>
                <w:vertAlign w:val="baseline"/>
                <w:lang w:val="en-US" w:eastAsia="zh-CN"/>
              </w:rPr>
              <w:t>款】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【信银理财持有期系列产品】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【信银理财安盈象日开产品】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兴银理财持有期产品（除陆盈8号、丰收3</w:t>
            </w: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以外）】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【兴银理财日盈41号产品】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【渝银理财持有期系列产品及】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【苏银理财持有期系列产品】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【苏银理财客周系列季持、月持系列产品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4月28日按4月25日净值确认份额，享周末收益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4月28日按4月25日净值确认份额，不享受周末收益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97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（含）——4月28日15:00前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按4月28日净值确认份额，不享受周末收益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4月29日按4月28日净值确认份额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97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（含）——4月29日15:00前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4月30日按4月29日净值确认份额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4月30日按4月29日净值确认份额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（含）——4月30日15:00前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按4月30日净值确认份额，享假期收益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按4月30日净值确认份额，不享受假期收益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9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（含）——5月6日15:00前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按5月6日净值确认份额，不享受假期收益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按5月6日净值确认份额，享假期收益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restart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【兴银理财陆盈8号、丰收3</w:t>
            </w: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持有期产品】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【平安理财28天持有期产品】</w:t>
            </w:r>
          </w:p>
        </w:tc>
        <w:tc>
          <w:tcPr>
            <w:tcW w:w="295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按4月25日净值确认份额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（含）——4月28日15:00前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按4月28日净值确认份额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4月28日15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（含）——4月29日15:00前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按4月29日净值确认份额，享受节日期间理财收益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5月6日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continue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4月29日15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（含）——4月30日15:00前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按4月30日净值确认份额，享受节日期间理财收益</w:t>
            </w:r>
          </w:p>
        </w:tc>
        <w:tc>
          <w:tcPr>
            <w:tcW w:w="1496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（含）——5月6日15:00前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按5月6日净值确认份额，不享受节日期间理财收益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【杭银理财周添益产品】</w:t>
            </w:r>
          </w:p>
        </w:tc>
        <w:tc>
          <w:tcPr>
            <w:tcW w:w="29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4月24日15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（含）——5月7日15:00前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【苏银理财周开放产品】</w:t>
            </w:r>
          </w:p>
        </w:tc>
        <w:tc>
          <w:tcPr>
            <w:tcW w:w="29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4月27日15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（含）——4月29日15:00前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（含）——5月7日15:00前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5月8日</w:t>
            </w:r>
          </w:p>
        </w:tc>
      </w:tr>
    </w:tbl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请各位客户做好资金周转。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理财非存款，产品有风险，投资须谨慎。上虞农商银行作为代销机构不承担产品的投资、兑付和风险管理责任。</w:t>
      </w:r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上虞农商银行</w:t>
      </w:r>
    </w:p>
    <w:p>
      <w:pPr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B6F63"/>
    <w:rsid w:val="0D384842"/>
    <w:rsid w:val="17FF4770"/>
    <w:rsid w:val="19277A56"/>
    <w:rsid w:val="27EE7E94"/>
    <w:rsid w:val="3C125627"/>
    <w:rsid w:val="4D6576B0"/>
    <w:rsid w:val="4E6949BD"/>
    <w:rsid w:val="5F5A6774"/>
    <w:rsid w:val="669514DF"/>
    <w:rsid w:val="6A26223D"/>
    <w:rsid w:val="6AFEA333"/>
    <w:rsid w:val="6B7B6F63"/>
    <w:rsid w:val="7D51A17D"/>
    <w:rsid w:val="7FFD3603"/>
    <w:rsid w:val="7FFF0343"/>
    <w:rsid w:val="D7FF15B0"/>
    <w:rsid w:val="F7BD0960"/>
    <w:rsid w:val="F7D63C0D"/>
    <w:rsid w:val="F7FE335B"/>
    <w:rsid w:val="F9BF4F6E"/>
    <w:rsid w:val="FDBE9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2024-04-24T23:37:00Z</dcterms:created>
  <dc:creator>酱瓜 </dc:creator>
  <cp:lastModifiedBy>Admin</cp:lastModifiedBy>
  <dcterms:modified xsi:type="dcterms:W3CDTF">2025-04-23T07:18:30Z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59F86E0A9AEE455EBBBFB42D508B64F7</vt:lpwstr>
  </property>
</Properties>
</file>