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30682">
      <w:pPr>
        <w:jc w:val="center"/>
        <w:rPr>
          <w:rFonts w:ascii="宋体" w:hAnsi="宋体" w:eastAsia="宋体" w:cs="宋体"/>
          <w:b/>
          <w:bCs/>
          <w:sz w:val="32"/>
          <w:szCs w:val="32"/>
        </w:rPr>
      </w:pPr>
      <w:r>
        <w:rPr>
          <w:rFonts w:ascii="宋体" w:hAnsi="宋体" w:eastAsia="宋体" w:cs="宋体"/>
          <w:b/>
          <w:bCs/>
          <w:sz w:val="32"/>
          <w:szCs w:val="32"/>
        </w:rPr>
        <w:t>上虞农商银行“丰收信福”2024年第48期封闭式净值型人民币理财产品2025年</w:t>
      </w:r>
      <w:r>
        <w:rPr>
          <w:rFonts w:hint="eastAsia" w:ascii="宋体" w:hAnsi="宋体" w:eastAsia="宋体" w:cs="宋体"/>
          <w:b/>
          <w:bCs/>
          <w:sz w:val="32"/>
          <w:szCs w:val="32"/>
          <w:lang w:eastAsia="zh-CN"/>
        </w:rPr>
        <w:t>第二季度</w:t>
      </w:r>
      <w:r>
        <w:rPr>
          <w:rFonts w:ascii="宋体" w:hAnsi="宋体" w:eastAsia="宋体" w:cs="宋体"/>
          <w:b/>
          <w:bCs/>
          <w:sz w:val="32"/>
          <w:szCs w:val="32"/>
        </w:rPr>
        <w:t>报告</w:t>
      </w:r>
    </w:p>
    <w:p w14:paraId="78BAAED8">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2698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FB9CC54">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产品信息</w:t>
            </w:r>
          </w:p>
        </w:tc>
        <w:tc>
          <w:tcPr>
            <w:tcW w:w="4328" w:type="dxa"/>
          </w:tcPr>
          <w:p w14:paraId="07AFD32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要素内容</w:t>
            </w:r>
          </w:p>
        </w:tc>
      </w:tr>
      <w:tr w14:paraId="38CF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36F911F0">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产品名称</w:t>
            </w:r>
          </w:p>
        </w:tc>
        <w:tc>
          <w:tcPr>
            <w:tcW w:w="4328" w:type="dxa"/>
          </w:tcPr>
          <w:p w14:paraId="5EDA85C0">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上虞农商银行“丰收信福”2024年第48期封闭式净值型人民币理财产品</w:t>
            </w:r>
          </w:p>
        </w:tc>
      </w:tr>
      <w:tr w14:paraId="4B83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8AF7E68">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产品代码</w:t>
            </w:r>
          </w:p>
        </w:tc>
        <w:tc>
          <w:tcPr>
            <w:tcW w:w="4328" w:type="dxa"/>
          </w:tcPr>
          <w:p w14:paraId="0F3A378A">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FSXFFBJZ8922024048</w:t>
            </w:r>
          </w:p>
        </w:tc>
      </w:tr>
      <w:tr w14:paraId="30C1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288DE94">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理财产品登记编码</w:t>
            </w:r>
          </w:p>
        </w:tc>
        <w:tc>
          <w:tcPr>
            <w:tcW w:w="4328" w:type="dxa"/>
          </w:tcPr>
          <w:p w14:paraId="3698FF55">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C1124924000047</w:t>
            </w:r>
          </w:p>
        </w:tc>
      </w:tr>
      <w:tr w14:paraId="0BC8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9DE2278">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产品成立日</w:t>
            </w:r>
          </w:p>
        </w:tc>
        <w:tc>
          <w:tcPr>
            <w:tcW w:w="4328" w:type="dxa"/>
            <w:vAlign w:val="center"/>
          </w:tcPr>
          <w:p w14:paraId="0F3A73B0">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2024/10/23</w:t>
            </w:r>
          </w:p>
        </w:tc>
      </w:tr>
      <w:tr w14:paraId="6C08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ABF826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产品到期日</w:t>
            </w:r>
          </w:p>
        </w:tc>
        <w:tc>
          <w:tcPr>
            <w:tcW w:w="4328" w:type="dxa"/>
          </w:tcPr>
          <w:p w14:paraId="4D921FF4">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2025/10/23</w:t>
            </w:r>
          </w:p>
        </w:tc>
      </w:tr>
      <w:tr w14:paraId="76EB1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04B97C1">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产品类型</w:t>
            </w:r>
          </w:p>
        </w:tc>
        <w:tc>
          <w:tcPr>
            <w:tcW w:w="4328" w:type="dxa"/>
          </w:tcPr>
          <w:p w14:paraId="1E0BD61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非保本浮动收益型</w:t>
            </w:r>
          </w:p>
        </w:tc>
      </w:tr>
      <w:tr w14:paraId="64C1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4946EE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产品风险等级</w:t>
            </w:r>
          </w:p>
        </w:tc>
        <w:tc>
          <w:tcPr>
            <w:tcW w:w="4328" w:type="dxa"/>
          </w:tcPr>
          <w:p w14:paraId="52A4831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PR2中低风险</w:t>
            </w:r>
          </w:p>
        </w:tc>
      </w:tr>
      <w:tr w14:paraId="7F85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A1DCF94">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托管人</w:t>
            </w:r>
          </w:p>
        </w:tc>
        <w:tc>
          <w:tcPr>
            <w:tcW w:w="4328" w:type="dxa"/>
          </w:tcPr>
          <w:p w14:paraId="7C569CCE">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兴业银行股份有限公司</w:t>
            </w:r>
          </w:p>
        </w:tc>
      </w:tr>
      <w:tr w14:paraId="218B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18EE7F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管理人</w:t>
            </w:r>
          </w:p>
        </w:tc>
        <w:tc>
          <w:tcPr>
            <w:tcW w:w="4328" w:type="dxa"/>
          </w:tcPr>
          <w:p w14:paraId="2860557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浙江上虞农村商业银行股份有限公司</w:t>
            </w:r>
          </w:p>
        </w:tc>
      </w:tr>
      <w:tr w14:paraId="7363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06DDBBF">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理财币种</w:t>
            </w:r>
          </w:p>
        </w:tc>
        <w:tc>
          <w:tcPr>
            <w:tcW w:w="4328" w:type="dxa"/>
          </w:tcPr>
          <w:p w14:paraId="0E2281C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人民币</w:t>
            </w:r>
          </w:p>
        </w:tc>
      </w:tr>
      <w:tr w14:paraId="23B6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7D50AB8">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业绩比较基准</w:t>
            </w:r>
          </w:p>
        </w:tc>
        <w:tc>
          <w:tcPr>
            <w:tcW w:w="4328" w:type="dxa"/>
          </w:tcPr>
          <w:p w14:paraId="4D9C09C3">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2.20-2.70</w:t>
            </w:r>
            <w:r>
              <w:rPr>
                <w:rFonts w:hint="eastAsia" w:ascii="宋体" w:hAnsi="宋体" w:eastAsia="宋体" w:cs="宋体"/>
                <w:b/>
                <w:bCs/>
                <w:kern w:val="0"/>
                <w:sz w:val="24"/>
                <w:szCs w:val="20"/>
              </w:rPr>
              <w:t>%</w:t>
            </w:r>
          </w:p>
        </w:tc>
      </w:tr>
      <w:tr w14:paraId="24E67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C8DE812">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产品托管费率</w:t>
            </w:r>
          </w:p>
        </w:tc>
        <w:tc>
          <w:tcPr>
            <w:tcW w:w="4328" w:type="dxa"/>
          </w:tcPr>
          <w:p w14:paraId="28CDE1EB">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0.010</w:t>
            </w:r>
            <w:r>
              <w:rPr>
                <w:rFonts w:hint="eastAsia" w:ascii="宋体" w:hAnsi="宋体" w:eastAsia="宋体" w:cs="宋体"/>
                <w:b/>
                <w:bCs/>
                <w:kern w:val="0"/>
                <w:sz w:val="24"/>
                <w:szCs w:val="20"/>
              </w:rPr>
              <w:t>%</w:t>
            </w:r>
          </w:p>
        </w:tc>
      </w:tr>
      <w:tr w14:paraId="1FA4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2C434FB">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产品外包估值费率</w:t>
            </w:r>
          </w:p>
        </w:tc>
        <w:tc>
          <w:tcPr>
            <w:tcW w:w="4328" w:type="dxa"/>
          </w:tcPr>
          <w:p w14:paraId="70AB2E54">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0.005</w:t>
            </w:r>
            <w:r>
              <w:rPr>
                <w:rFonts w:hint="eastAsia" w:ascii="宋体" w:hAnsi="宋体" w:eastAsia="宋体" w:cs="宋体"/>
                <w:b/>
                <w:bCs/>
                <w:kern w:val="0"/>
                <w:sz w:val="24"/>
                <w:szCs w:val="20"/>
              </w:rPr>
              <w:t>%</w:t>
            </w:r>
          </w:p>
        </w:tc>
      </w:tr>
      <w:tr w14:paraId="3F6E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DD00D0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报告期末资产净值（元）</w:t>
            </w:r>
          </w:p>
        </w:tc>
        <w:tc>
          <w:tcPr>
            <w:tcW w:w="4328" w:type="dxa"/>
            <w:shd w:val="clear" w:color="auto" w:fill="auto"/>
            <w:vAlign w:val="center"/>
          </w:tcPr>
          <w:p w14:paraId="0866E878">
            <w:pPr>
              <w:widowControl/>
              <w:jc w:val="center"/>
              <w:textAlignment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46773000</w:t>
            </w:r>
          </w:p>
        </w:tc>
      </w:tr>
      <w:tr w14:paraId="156C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B33B243">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报告期末理财产品份额（份）</w:t>
            </w:r>
          </w:p>
        </w:tc>
        <w:tc>
          <w:tcPr>
            <w:tcW w:w="4328" w:type="dxa"/>
            <w:vAlign w:val="center"/>
          </w:tcPr>
          <w:p w14:paraId="2B0C74FD">
            <w:pPr>
              <w:widowControl/>
              <w:jc w:val="center"/>
              <w:textAlignment w:val="center"/>
              <w:rPr>
                <w:rFonts w:ascii="宋体" w:hAnsi="宋体" w:eastAsia="宋体" w:cs="宋体"/>
                <w:b/>
                <w:bCs/>
                <w:kern w:val="0"/>
                <w:sz w:val="24"/>
                <w:szCs w:val="20"/>
              </w:rPr>
            </w:pPr>
            <w:r>
              <w:rPr>
                <w:rFonts w:ascii="宋体" w:hAnsi="宋体" w:eastAsia="宋体" w:cs="宋体"/>
                <w:b/>
                <w:bCs/>
                <w:kern w:val="0"/>
                <w:sz w:val="24"/>
                <w:szCs w:val="20"/>
              </w:rPr>
              <w:t>45000000</w:t>
            </w:r>
          </w:p>
        </w:tc>
      </w:tr>
    </w:tbl>
    <w:p w14:paraId="01E8574F">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产品收益表现</w:t>
      </w:r>
    </w:p>
    <w:p w14:paraId="4639C78B">
      <w:pPr>
        <w:numPr>
          <w:ilvl w:val="0"/>
          <w:numId w:val="2"/>
        </w:numPr>
        <w:spacing w:line="480" w:lineRule="auto"/>
        <w:rPr>
          <w:rFonts w:ascii="宋体" w:hAnsi="宋体" w:eastAsia="宋体" w:cs="宋体"/>
          <w:b/>
          <w:bCs/>
          <w:sz w:val="24"/>
        </w:rPr>
      </w:pPr>
      <w:r>
        <w:rPr>
          <w:rFonts w:hint="eastAsia" w:ascii="宋体" w:hAnsi="宋体" w:eastAsia="宋体" w:cs="宋体"/>
          <w:b/>
          <w:bCs/>
          <w:sz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72F0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1C9A4B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期末日期</w:t>
            </w:r>
          </w:p>
        </w:tc>
        <w:tc>
          <w:tcPr>
            <w:tcW w:w="2841" w:type="dxa"/>
          </w:tcPr>
          <w:p w14:paraId="6854DD3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份额净值</w:t>
            </w:r>
          </w:p>
        </w:tc>
        <w:tc>
          <w:tcPr>
            <w:tcW w:w="2841" w:type="dxa"/>
          </w:tcPr>
          <w:p w14:paraId="4EE1753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份额累计净值</w:t>
            </w:r>
          </w:p>
        </w:tc>
      </w:tr>
      <w:tr w14:paraId="1230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3CFCA82">
            <w:pPr>
              <w:spacing w:line="480" w:lineRule="auto"/>
              <w:jc w:val="center"/>
              <w:rPr>
                <w:rFonts w:hint="eastAsia" w:ascii="宋体" w:hAnsi="宋体" w:eastAsia="宋体" w:cs="宋体"/>
                <w:b/>
                <w:bCs/>
                <w:kern w:val="0"/>
                <w:sz w:val="24"/>
                <w:szCs w:val="20"/>
                <w:lang w:eastAsia="zh-CN"/>
              </w:rPr>
            </w:pPr>
            <w:r>
              <w:rPr>
                <w:rFonts w:hint="eastAsia" w:ascii="宋体" w:hAnsi="宋体" w:eastAsia="宋体" w:cs="宋体"/>
                <w:b/>
                <w:bCs/>
                <w:kern w:val="0"/>
                <w:sz w:val="24"/>
                <w:szCs w:val="20"/>
                <w:lang w:eastAsia="zh-CN"/>
              </w:rPr>
              <w:t>2025/06/30</w:t>
            </w:r>
          </w:p>
        </w:tc>
        <w:tc>
          <w:tcPr>
            <w:tcW w:w="2841" w:type="dxa"/>
            <w:shd w:val="clear" w:color="auto" w:fill="auto"/>
            <w:vAlign w:val="center"/>
          </w:tcPr>
          <w:p w14:paraId="60F6B32E">
            <w:pPr>
              <w:spacing w:line="480" w:lineRule="auto"/>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kern w:val="0"/>
                <w:sz w:val="24"/>
                <w:szCs w:val="20"/>
                <w:lang w:val="en-US" w:eastAsia="zh-CN"/>
              </w:rPr>
              <w:t>1.0394</w:t>
            </w:r>
          </w:p>
        </w:tc>
        <w:tc>
          <w:tcPr>
            <w:tcW w:w="2841" w:type="dxa"/>
          </w:tcPr>
          <w:p w14:paraId="06D2E97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lang w:val="en-US" w:eastAsia="zh-CN"/>
              </w:rPr>
              <w:t>1.0394</w:t>
            </w:r>
          </w:p>
        </w:tc>
      </w:tr>
    </w:tbl>
    <w:p w14:paraId="21E08D1F">
      <w:pPr>
        <w:numPr>
          <w:ilvl w:val="0"/>
          <w:numId w:val="2"/>
        </w:numPr>
        <w:spacing w:line="480" w:lineRule="auto"/>
        <w:rPr>
          <w:rFonts w:ascii="宋体" w:hAnsi="宋体" w:eastAsia="宋体" w:cs="宋体"/>
          <w:b/>
          <w:bCs/>
          <w:sz w:val="24"/>
        </w:rPr>
      </w:pPr>
      <w:r>
        <w:rPr>
          <w:rFonts w:hint="eastAsia" w:ascii="宋体" w:hAnsi="宋体" w:eastAsia="宋体" w:cs="宋体"/>
          <w:b/>
          <w:bCs/>
          <w:sz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74D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B7299F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时间阶段</w:t>
            </w:r>
          </w:p>
        </w:tc>
        <w:tc>
          <w:tcPr>
            <w:tcW w:w="4261" w:type="dxa"/>
          </w:tcPr>
          <w:p w14:paraId="0501ECA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净值增长率（%）</w:t>
            </w:r>
          </w:p>
        </w:tc>
      </w:tr>
      <w:tr w14:paraId="6B44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5DE60F6">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当期</w:t>
            </w:r>
          </w:p>
        </w:tc>
        <w:tc>
          <w:tcPr>
            <w:tcW w:w="4261" w:type="dxa"/>
          </w:tcPr>
          <w:p w14:paraId="1526FF98">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1.71</w:t>
            </w:r>
          </w:p>
        </w:tc>
      </w:tr>
      <w:tr w14:paraId="2D78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1E0C9F1">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自产品成立日至今</w:t>
            </w:r>
          </w:p>
        </w:tc>
        <w:tc>
          <w:tcPr>
            <w:tcW w:w="4261" w:type="dxa"/>
          </w:tcPr>
          <w:p w14:paraId="21F6AF7B">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3.94</w:t>
            </w:r>
          </w:p>
        </w:tc>
      </w:tr>
    </w:tbl>
    <w:p w14:paraId="03AD0501">
      <w:pPr>
        <w:spacing w:line="480" w:lineRule="auto"/>
        <w:rPr>
          <w:rFonts w:ascii="宋体" w:hAnsi="宋体" w:eastAsia="宋体" w:cs="宋体"/>
          <w:b/>
          <w:bCs/>
          <w:sz w:val="24"/>
        </w:rPr>
      </w:pPr>
      <w:r>
        <w:rPr>
          <w:rFonts w:hint="eastAsia" w:ascii="宋体" w:hAnsi="宋体" w:eastAsia="宋体" w:cs="宋体"/>
          <w:b/>
          <w:bCs/>
          <w:sz w:val="24"/>
        </w:rPr>
        <w:t xml:space="preserve">    说明：理财产品过往业绩不代表其未来表现，不等于理财产品实际收益，投资须谨慎。本产品单位净值暂未扣除投资管理费，该费用在产品到期日进行</w:t>
      </w:r>
      <w:bookmarkStart w:id="0" w:name="_GoBack"/>
      <w:bookmarkEnd w:id="0"/>
      <w:r>
        <w:rPr>
          <w:rFonts w:hint="eastAsia" w:ascii="宋体" w:hAnsi="宋体" w:eastAsia="宋体" w:cs="宋体"/>
          <w:b/>
          <w:bCs/>
          <w:sz w:val="24"/>
        </w:rPr>
        <w:t>统一计提。</w:t>
      </w:r>
    </w:p>
    <w:p w14:paraId="324D459F">
      <w:pPr>
        <w:numPr>
          <w:ilvl w:val="0"/>
          <w:numId w:val="1"/>
        </w:numPr>
        <w:spacing w:line="480" w:lineRule="auto"/>
        <w:rPr>
          <w:rFonts w:ascii="宋体" w:hAnsi="宋体" w:eastAsia="宋体" w:cs="宋体"/>
          <w:b/>
          <w:bCs/>
          <w:sz w:val="24"/>
        </w:rPr>
      </w:pPr>
      <w:r>
        <w:rPr>
          <w:rFonts w:hint="eastAsia" w:ascii="宋体" w:hAnsi="宋体" w:eastAsia="宋体" w:cs="宋体"/>
          <w:b/>
          <w:bCs/>
          <w:sz w:val="24"/>
        </w:rPr>
        <w:t>投资组合情况</w:t>
      </w:r>
    </w:p>
    <w:p w14:paraId="4348D112">
      <w:pPr>
        <w:numPr>
          <w:ilvl w:val="0"/>
          <w:numId w:val="3"/>
        </w:numPr>
        <w:spacing w:line="480" w:lineRule="auto"/>
        <w:rPr>
          <w:rFonts w:ascii="宋体" w:hAnsi="宋体" w:eastAsia="宋体" w:cs="宋体"/>
          <w:b/>
          <w:bCs/>
          <w:sz w:val="24"/>
        </w:rPr>
      </w:pPr>
      <w:r>
        <w:rPr>
          <w:rFonts w:hint="eastAsia" w:ascii="宋体" w:hAnsi="宋体" w:eastAsia="宋体" w:cs="宋体"/>
          <w:b/>
          <w:bCs/>
          <w:sz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2816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1628544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资产类型</w:t>
            </w:r>
          </w:p>
        </w:tc>
        <w:tc>
          <w:tcPr>
            <w:tcW w:w="2715" w:type="dxa"/>
            <w:gridSpan w:val="2"/>
          </w:tcPr>
          <w:p w14:paraId="4C78408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直接投资</w:t>
            </w:r>
          </w:p>
        </w:tc>
        <w:tc>
          <w:tcPr>
            <w:tcW w:w="2858" w:type="dxa"/>
            <w:gridSpan w:val="2"/>
          </w:tcPr>
          <w:p w14:paraId="35BC667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间接投资</w:t>
            </w:r>
          </w:p>
        </w:tc>
      </w:tr>
      <w:tr w14:paraId="136D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598D29D4">
            <w:pPr>
              <w:spacing w:line="480" w:lineRule="auto"/>
              <w:rPr>
                <w:rFonts w:ascii="宋体" w:hAnsi="宋体" w:eastAsia="宋体" w:cs="宋体"/>
                <w:b/>
                <w:bCs/>
                <w:kern w:val="0"/>
                <w:sz w:val="24"/>
                <w:szCs w:val="20"/>
              </w:rPr>
            </w:pPr>
          </w:p>
        </w:tc>
        <w:tc>
          <w:tcPr>
            <w:tcW w:w="1320" w:type="dxa"/>
            <w:vAlign w:val="center"/>
          </w:tcPr>
          <w:p w14:paraId="7CF7CA0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395" w:type="dxa"/>
            <w:vAlign w:val="center"/>
          </w:tcPr>
          <w:p w14:paraId="6988CCB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c>
          <w:tcPr>
            <w:tcW w:w="1425" w:type="dxa"/>
            <w:vAlign w:val="center"/>
          </w:tcPr>
          <w:p w14:paraId="1CB59AF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433" w:type="dxa"/>
            <w:vAlign w:val="center"/>
          </w:tcPr>
          <w:p w14:paraId="390B812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r>
      <w:tr w14:paraId="0AF97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A040B69">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固定收益类资产：</w:t>
            </w:r>
          </w:p>
        </w:tc>
        <w:tc>
          <w:tcPr>
            <w:tcW w:w="1320" w:type="dxa"/>
            <w:vAlign w:val="center"/>
          </w:tcPr>
          <w:p w14:paraId="3CF74700">
            <w:pPr>
              <w:widowControl/>
              <w:jc w:val="center"/>
              <w:textAlignment w:val="center"/>
              <w:rPr>
                <w:rFonts w:hint="default" w:ascii="宋体" w:hAnsi="宋体" w:eastAsia="宋体" w:cs="宋体"/>
                <w:b/>
                <w:bCs/>
                <w:color w:val="000000"/>
                <w:kern w:val="0"/>
                <w:sz w:val="24"/>
                <w:szCs w:val="20"/>
                <w:lang w:val="en-US" w:eastAsia="zh-CN" w:bidi="ar"/>
              </w:rPr>
            </w:pPr>
            <w:r>
              <w:rPr>
                <w:rFonts w:ascii="宋体" w:hAnsi="宋体" w:eastAsia="宋体" w:cs="宋体"/>
                <w:b/>
                <w:bCs/>
                <w:color w:val="000000"/>
                <w:kern w:val="0"/>
                <w:sz w:val="24"/>
                <w:szCs w:val="20"/>
                <w:lang w:bidi="ar"/>
              </w:rPr>
              <w:t>4</w:t>
            </w:r>
            <w:r>
              <w:rPr>
                <w:rFonts w:hint="eastAsia" w:ascii="宋体" w:hAnsi="宋体" w:eastAsia="宋体" w:cs="宋体"/>
                <w:b/>
                <w:bCs/>
                <w:color w:val="000000"/>
                <w:kern w:val="0"/>
                <w:sz w:val="24"/>
                <w:szCs w:val="20"/>
                <w:lang w:val="en-US" w:eastAsia="zh-CN" w:bidi="ar"/>
              </w:rPr>
              <w:t>677.30</w:t>
            </w:r>
          </w:p>
        </w:tc>
        <w:tc>
          <w:tcPr>
            <w:tcW w:w="1395" w:type="dxa"/>
          </w:tcPr>
          <w:p w14:paraId="266FF961">
            <w:pPr>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kern w:val="0"/>
                <w:sz w:val="24"/>
                <w:szCs w:val="20"/>
              </w:rPr>
              <w:t>100</w:t>
            </w:r>
          </w:p>
        </w:tc>
        <w:tc>
          <w:tcPr>
            <w:tcW w:w="1425" w:type="dxa"/>
            <w:vAlign w:val="center"/>
          </w:tcPr>
          <w:p w14:paraId="4E829B4F">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5525.42</w:t>
            </w:r>
          </w:p>
        </w:tc>
        <w:tc>
          <w:tcPr>
            <w:tcW w:w="1433" w:type="dxa"/>
            <w:vAlign w:val="center"/>
          </w:tcPr>
          <w:p w14:paraId="2439578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100</w:t>
            </w:r>
          </w:p>
        </w:tc>
      </w:tr>
      <w:tr w14:paraId="495C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418A5DA">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债券</w:t>
            </w:r>
          </w:p>
        </w:tc>
        <w:tc>
          <w:tcPr>
            <w:tcW w:w="1320" w:type="dxa"/>
          </w:tcPr>
          <w:p w14:paraId="29ACE53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60E56FD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05FC586B">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5517.57</w:t>
            </w:r>
          </w:p>
        </w:tc>
        <w:tc>
          <w:tcPr>
            <w:tcW w:w="1433" w:type="dxa"/>
            <w:vAlign w:val="center"/>
          </w:tcPr>
          <w:p w14:paraId="7CF8D6C9">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99.86 </w:t>
            </w:r>
          </w:p>
        </w:tc>
      </w:tr>
      <w:tr w14:paraId="0634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2D2A8B8">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存款</w:t>
            </w:r>
          </w:p>
        </w:tc>
        <w:tc>
          <w:tcPr>
            <w:tcW w:w="1320" w:type="dxa"/>
          </w:tcPr>
          <w:p w14:paraId="531695B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4EF1885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00E9DC94">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7.85</w:t>
            </w:r>
          </w:p>
        </w:tc>
        <w:tc>
          <w:tcPr>
            <w:tcW w:w="1433" w:type="dxa"/>
            <w:vAlign w:val="center"/>
          </w:tcPr>
          <w:p w14:paraId="0483E30A">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0.14 </w:t>
            </w:r>
          </w:p>
        </w:tc>
      </w:tr>
      <w:tr w14:paraId="2507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CA60E31">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买入返售金融资产</w:t>
            </w:r>
          </w:p>
        </w:tc>
        <w:tc>
          <w:tcPr>
            <w:tcW w:w="1320" w:type="dxa"/>
          </w:tcPr>
          <w:p w14:paraId="286D13B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451F6D4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5B2054E9">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vAlign w:val="center"/>
          </w:tcPr>
          <w:p w14:paraId="15CB8AA2">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 xml:space="preserve">0.00 </w:t>
            </w:r>
          </w:p>
        </w:tc>
      </w:tr>
      <w:tr w14:paraId="4AC1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773E4F6">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资产管理产品</w:t>
            </w:r>
          </w:p>
        </w:tc>
        <w:tc>
          <w:tcPr>
            <w:tcW w:w="1320" w:type="dxa"/>
            <w:vAlign w:val="center"/>
          </w:tcPr>
          <w:p w14:paraId="0CC86D3B">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4</w:t>
            </w:r>
            <w:r>
              <w:rPr>
                <w:rFonts w:hint="eastAsia" w:ascii="宋体" w:hAnsi="宋体" w:eastAsia="宋体" w:cs="宋体"/>
                <w:b/>
                <w:bCs/>
                <w:color w:val="000000"/>
                <w:kern w:val="0"/>
                <w:sz w:val="24"/>
                <w:szCs w:val="20"/>
                <w:lang w:val="en-US" w:eastAsia="zh-CN" w:bidi="ar"/>
              </w:rPr>
              <w:t>677.30</w:t>
            </w:r>
            <w:r>
              <w:rPr>
                <w:rFonts w:hint="eastAsia" w:ascii="宋体" w:hAnsi="宋体" w:eastAsia="宋体" w:cs="宋体"/>
                <w:b/>
                <w:bCs/>
                <w:color w:val="000000"/>
                <w:kern w:val="0"/>
                <w:sz w:val="24"/>
                <w:szCs w:val="20"/>
                <w:lang w:bidi="ar"/>
              </w:rPr>
              <w:t xml:space="preserve">  </w:t>
            </w:r>
          </w:p>
        </w:tc>
        <w:tc>
          <w:tcPr>
            <w:tcW w:w="1395" w:type="dxa"/>
          </w:tcPr>
          <w:p w14:paraId="6F8A290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42D1C43B">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vAlign w:val="center"/>
          </w:tcPr>
          <w:p w14:paraId="6753A5E7">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r>
      <w:tr w14:paraId="5F40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CA87ACE">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其他债权类资产</w:t>
            </w:r>
          </w:p>
        </w:tc>
        <w:tc>
          <w:tcPr>
            <w:tcW w:w="1320" w:type="dxa"/>
          </w:tcPr>
          <w:p w14:paraId="76AB8E9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4D23BBB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6A10AF68">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tcPr>
          <w:p w14:paraId="78841AC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5A8B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B998372">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权益类资产：</w:t>
            </w:r>
          </w:p>
        </w:tc>
        <w:tc>
          <w:tcPr>
            <w:tcW w:w="1320" w:type="dxa"/>
          </w:tcPr>
          <w:p w14:paraId="52021C5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300B904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59C9052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06876E8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229E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BC345AA">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股票</w:t>
            </w:r>
          </w:p>
        </w:tc>
        <w:tc>
          <w:tcPr>
            <w:tcW w:w="1320" w:type="dxa"/>
          </w:tcPr>
          <w:p w14:paraId="1BA44E8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D0857D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549D50A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622981A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7AEF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E7B82A7">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其他股权资产</w:t>
            </w:r>
          </w:p>
        </w:tc>
        <w:tc>
          <w:tcPr>
            <w:tcW w:w="1320" w:type="dxa"/>
          </w:tcPr>
          <w:p w14:paraId="404631F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114B277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58B6BB0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41A4AF3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269C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AAD56B2">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商品及金融衍生品资产：</w:t>
            </w:r>
          </w:p>
        </w:tc>
        <w:tc>
          <w:tcPr>
            <w:tcW w:w="1320" w:type="dxa"/>
          </w:tcPr>
          <w:p w14:paraId="2F3DB80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4D2E6E2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6746B16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5EC3653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3305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C2B8F8D">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w:t>
            </w:r>
          </w:p>
        </w:tc>
        <w:tc>
          <w:tcPr>
            <w:tcW w:w="1320" w:type="dxa"/>
          </w:tcPr>
          <w:p w14:paraId="1AF4F38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62BBD27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0EAB4DE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39BAF9E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2D5A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82728FD">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金融衍生品</w:t>
            </w:r>
          </w:p>
        </w:tc>
        <w:tc>
          <w:tcPr>
            <w:tcW w:w="1320" w:type="dxa"/>
          </w:tcPr>
          <w:p w14:paraId="0958A63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3C66579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3E66950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691F820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6A59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ADECD88">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合计：</w:t>
            </w:r>
          </w:p>
        </w:tc>
        <w:tc>
          <w:tcPr>
            <w:tcW w:w="1320" w:type="dxa"/>
            <w:vAlign w:val="center"/>
          </w:tcPr>
          <w:p w14:paraId="2E7F1BA4">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4</w:t>
            </w:r>
            <w:r>
              <w:rPr>
                <w:rFonts w:hint="eastAsia" w:ascii="宋体" w:hAnsi="宋体" w:eastAsia="宋体" w:cs="宋体"/>
                <w:b/>
                <w:bCs/>
                <w:color w:val="000000"/>
                <w:kern w:val="0"/>
                <w:sz w:val="24"/>
                <w:szCs w:val="20"/>
                <w:lang w:val="en-US" w:eastAsia="zh-CN" w:bidi="ar"/>
              </w:rPr>
              <w:t>677.30</w:t>
            </w:r>
            <w:r>
              <w:rPr>
                <w:rFonts w:hint="eastAsia" w:ascii="宋体" w:hAnsi="宋体" w:eastAsia="宋体" w:cs="宋体"/>
                <w:b/>
                <w:bCs/>
                <w:color w:val="000000"/>
                <w:kern w:val="0"/>
                <w:sz w:val="24"/>
                <w:szCs w:val="20"/>
                <w:lang w:bidi="ar"/>
              </w:rPr>
              <w:t xml:space="preserve"> </w:t>
            </w:r>
          </w:p>
        </w:tc>
        <w:tc>
          <w:tcPr>
            <w:tcW w:w="1395" w:type="dxa"/>
          </w:tcPr>
          <w:p w14:paraId="2A3D902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462B2F2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lang w:val="en-US" w:eastAsia="zh-CN"/>
              </w:rPr>
              <w:t>5525.42</w:t>
            </w:r>
          </w:p>
        </w:tc>
        <w:tc>
          <w:tcPr>
            <w:tcW w:w="1433" w:type="dxa"/>
            <w:vAlign w:val="center"/>
          </w:tcPr>
          <w:p w14:paraId="44C8A41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r>
    </w:tbl>
    <w:p w14:paraId="17907445">
      <w:pPr>
        <w:numPr>
          <w:ilvl w:val="0"/>
          <w:numId w:val="3"/>
        </w:numPr>
        <w:spacing w:line="480" w:lineRule="auto"/>
        <w:rPr>
          <w:rFonts w:ascii="宋体" w:hAnsi="宋体" w:eastAsia="宋体" w:cs="宋体"/>
          <w:b/>
          <w:bCs/>
          <w:sz w:val="24"/>
        </w:rPr>
      </w:pPr>
      <w:r>
        <w:rPr>
          <w:rFonts w:hint="eastAsia" w:ascii="宋体" w:hAnsi="宋体" w:eastAsia="宋体" w:cs="宋体"/>
          <w:b/>
          <w:bCs/>
          <w:sz w:val="24"/>
        </w:rPr>
        <w:t>产品流动性风险分析</w:t>
      </w:r>
    </w:p>
    <w:p w14:paraId="0DF5355D">
      <w:pPr>
        <w:spacing w:line="480" w:lineRule="auto"/>
        <w:rPr>
          <w:rFonts w:ascii="宋体" w:hAnsi="宋体" w:eastAsia="宋体" w:cs="宋体"/>
          <w:b/>
          <w:bCs/>
          <w:sz w:val="24"/>
        </w:rPr>
      </w:pPr>
      <w:r>
        <w:rPr>
          <w:rFonts w:hint="eastAsia" w:ascii="宋体" w:hAnsi="宋体" w:eastAsia="宋体" w:cs="宋体"/>
          <w:b/>
          <w:bCs/>
          <w:sz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7CA2D7CC">
      <w:pPr>
        <w:spacing w:line="480" w:lineRule="auto"/>
        <w:ind w:firstLine="482" w:firstLineChars="200"/>
        <w:rPr>
          <w:rFonts w:ascii="宋体" w:hAnsi="宋体" w:eastAsia="宋体" w:cs="宋体"/>
          <w:b/>
          <w:bCs/>
          <w:sz w:val="24"/>
        </w:rPr>
      </w:pPr>
      <w:r>
        <w:rPr>
          <w:rFonts w:hint="eastAsia" w:ascii="宋体" w:hAnsi="宋体" w:eastAsia="宋体" w:cs="宋体"/>
          <w:b/>
          <w:bCs/>
          <w:sz w:val="24"/>
        </w:rPr>
        <w:t>为防范无法支付到期赎回款而产生的流动性风险，本产品管理人将合理安排所投资产期限，产品到期前完成所投资组合中相关资产变现，尽可能降低产品流动性风险，有效保障产品持有人利益。</w:t>
      </w:r>
    </w:p>
    <w:p w14:paraId="63288E55">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四、报告期末前十项资产明细 </w:t>
      </w:r>
    </w:p>
    <w:p w14:paraId="3096D735">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4903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06ED300F">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资产名称</w:t>
            </w:r>
          </w:p>
        </w:tc>
        <w:tc>
          <w:tcPr>
            <w:tcW w:w="2597" w:type="dxa"/>
            <w:vAlign w:val="center"/>
          </w:tcPr>
          <w:p w14:paraId="04F8241E">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资产规模(万元)</w:t>
            </w:r>
          </w:p>
        </w:tc>
        <w:tc>
          <w:tcPr>
            <w:tcW w:w="2841" w:type="dxa"/>
            <w:vAlign w:val="center"/>
          </w:tcPr>
          <w:p w14:paraId="3A590113">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占产品资产净值比例</w:t>
            </w:r>
          </w:p>
        </w:tc>
      </w:tr>
      <w:tr w14:paraId="00DD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18C9188C">
            <w:pPr>
              <w:widowControl/>
              <w:spacing w:line="480" w:lineRule="auto"/>
              <w:jc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兴证资管恒利10号集合资产管理计划</w:t>
            </w:r>
          </w:p>
        </w:tc>
        <w:tc>
          <w:tcPr>
            <w:tcW w:w="2597" w:type="dxa"/>
            <w:vAlign w:val="center"/>
          </w:tcPr>
          <w:p w14:paraId="62962F6D">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4</w:t>
            </w:r>
            <w:r>
              <w:rPr>
                <w:rFonts w:hint="eastAsia" w:ascii="宋体" w:hAnsi="宋体" w:eastAsia="宋体" w:cs="宋体"/>
                <w:b/>
                <w:bCs/>
                <w:color w:val="000000"/>
                <w:kern w:val="0"/>
                <w:sz w:val="24"/>
                <w:szCs w:val="20"/>
                <w:lang w:val="en-US" w:eastAsia="zh-CN" w:bidi="ar"/>
              </w:rPr>
              <w:t>677.30</w:t>
            </w:r>
            <w:r>
              <w:rPr>
                <w:rFonts w:hint="eastAsia" w:ascii="宋体" w:hAnsi="宋体" w:eastAsia="宋体" w:cs="宋体"/>
                <w:b/>
                <w:bCs/>
                <w:color w:val="000000"/>
                <w:kern w:val="0"/>
                <w:sz w:val="24"/>
                <w:szCs w:val="20"/>
                <w:lang w:bidi="ar"/>
              </w:rPr>
              <w:t xml:space="preserve"> </w:t>
            </w:r>
          </w:p>
        </w:tc>
        <w:tc>
          <w:tcPr>
            <w:tcW w:w="2841" w:type="dxa"/>
            <w:vAlign w:val="center"/>
          </w:tcPr>
          <w:p w14:paraId="686BE479">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100%</w:t>
            </w:r>
          </w:p>
        </w:tc>
      </w:tr>
    </w:tbl>
    <w:p w14:paraId="42ED2199">
      <w:pPr>
        <w:widowControl/>
        <w:spacing w:line="480" w:lineRule="auto"/>
        <w:jc w:val="left"/>
        <w:rPr>
          <w:rFonts w:ascii="宋体" w:hAnsi="宋体" w:eastAsia="宋体" w:cs="宋体"/>
          <w:sz w:val="24"/>
        </w:rPr>
      </w:pPr>
      <w:r>
        <w:rPr>
          <w:rFonts w:hint="eastAsia" w:ascii="宋体" w:hAnsi="宋体" w:eastAsia="宋体" w:cs="宋体"/>
          <w:b/>
          <w:color w:val="000000"/>
          <w:kern w:val="0"/>
          <w:sz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250D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516D01E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资产名称</w:t>
            </w:r>
          </w:p>
        </w:tc>
        <w:tc>
          <w:tcPr>
            <w:tcW w:w="2110" w:type="dxa"/>
          </w:tcPr>
          <w:p w14:paraId="7354924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2841" w:type="dxa"/>
          </w:tcPr>
          <w:p w14:paraId="3F4D3AB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占产品资产净值比例（%）</w:t>
            </w:r>
          </w:p>
        </w:tc>
      </w:tr>
      <w:tr w14:paraId="52AE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61FCF90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19峨眉山旅游NPB01</w:t>
            </w:r>
          </w:p>
        </w:tc>
        <w:tc>
          <w:tcPr>
            <w:tcW w:w="2110" w:type="dxa"/>
            <w:vAlign w:val="center"/>
          </w:tcPr>
          <w:p w14:paraId="56753577">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273.30 </w:t>
            </w:r>
          </w:p>
        </w:tc>
        <w:tc>
          <w:tcPr>
            <w:tcW w:w="2841" w:type="dxa"/>
            <w:vAlign w:val="center"/>
          </w:tcPr>
          <w:p w14:paraId="16F7EE7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5.84 </w:t>
            </w:r>
          </w:p>
        </w:tc>
      </w:tr>
      <w:tr w14:paraId="140F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E3083D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24大足发展PPN002</w:t>
            </w:r>
          </w:p>
        </w:tc>
        <w:tc>
          <w:tcPr>
            <w:tcW w:w="2110" w:type="dxa"/>
            <w:vAlign w:val="center"/>
          </w:tcPr>
          <w:p w14:paraId="334C5C1C">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215.41 </w:t>
            </w:r>
          </w:p>
        </w:tc>
        <w:tc>
          <w:tcPr>
            <w:tcW w:w="2841" w:type="dxa"/>
            <w:vAlign w:val="center"/>
          </w:tcPr>
          <w:p w14:paraId="48A134A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4.61 </w:t>
            </w:r>
          </w:p>
        </w:tc>
      </w:tr>
      <w:tr w14:paraId="006E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4E057B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24大足发展PPN003</w:t>
            </w:r>
          </w:p>
        </w:tc>
        <w:tc>
          <w:tcPr>
            <w:tcW w:w="2110" w:type="dxa"/>
            <w:vAlign w:val="center"/>
          </w:tcPr>
          <w:p w14:paraId="5946545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134.55 </w:t>
            </w:r>
          </w:p>
        </w:tc>
        <w:tc>
          <w:tcPr>
            <w:tcW w:w="2841" w:type="dxa"/>
            <w:vAlign w:val="center"/>
          </w:tcPr>
          <w:p w14:paraId="1FE8E6FC">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2.88 </w:t>
            </w:r>
          </w:p>
        </w:tc>
      </w:tr>
      <w:tr w14:paraId="3748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DDE951B">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24安控08</w:t>
            </w:r>
          </w:p>
        </w:tc>
        <w:tc>
          <w:tcPr>
            <w:tcW w:w="2110" w:type="dxa"/>
            <w:vAlign w:val="center"/>
          </w:tcPr>
          <w:p w14:paraId="61E5DB7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134.53 </w:t>
            </w:r>
          </w:p>
        </w:tc>
        <w:tc>
          <w:tcPr>
            <w:tcW w:w="2841" w:type="dxa"/>
            <w:vAlign w:val="center"/>
          </w:tcPr>
          <w:p w14:paraId="588B79B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2.88 </w:t>
            </w:r>
          </w:p>
        </w:tc>
      </w:tr>
      <w:tr w14:paraId="5089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CF3364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24乐山高新PPN001(资产担保)</w:t>
            </w:r>
          </w:p>
        </w:tc>
        <w:tc>
          <w:tcPr>
            <w:tcW w:w="2110" w:type="dxa"/>
            <w:vAlign w:val="center"/>
          </w:tcPr>
          <w:p w14:paraId="598B096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130.92 </w:t>
            </w:r>
          </w:p>
        </w:tc>
        <w:tc>
          <w:tcPr>
            <w:tcW w:w="2841" w:type="dxa"/>
            <w:vAlign w:val="center"/>
          </w:tcPr>
          <w:p w14:paraId="66DBBE5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2.80 </w:t>
            </w:r>
          </w:p>
        </w:tc>
      </w:tr>
      <w:tr w14:paraId="4CDC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D21CBDE">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25圆山01</w:t>
            </w:r>
          </w:p>
        </w:tc>
        <w:tc>
          <w:tcPr>
            <w:tcW w:w="2110" w:type="dxa"/>
            <w:vAlign w:val="center"/>
          </w:tcPr>
          <w:p w14:paraId="4D124B4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130.40 </w:t>
            </w:r>
          </w:p>
        </w:tc>
        <w:tc>
          <w:tcPr>
            <w:tcW w:w="2841" w:type="dxa"/>
            <w:vAlign w:val="center"/>
          </w:tcPr>
          <w:p w14:paraId="5FEBE0A9">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2.79 </w:t>
            </w:r>
          </w:p>
        </w:tc>
      </w:tr>
      <w:tr w14:paraId="2E77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46990F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24华靖资产MTN005</w:t>
            </w:r>
          </w:p>
        </w:tc>
        <w:tc>
          <w:tcPr>
            <w:tcW w:w="2110" w:type="dxa"/>
            <w:vAlign w:val="center"/>
          </w:tcPr>
          <w:p w14:paraId="0737E77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129.56 </w:t>
            </w:r>
          </w:p>
        </w:tc>
        <w:tc>
          <w:tcPr>
            <w:tcW w:w="2841" w:type="dxa"/>
            <w:vAlign w:val="center"/>
          </w:tcPr>
          <w:p w14:paraId="5C65DF0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2.77 </w:t>
            </w:r>
          </w:p>
        </w:tc>
      </w:tr>
      <w:tr w14:paraId="06D1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6B53478">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23长寿04</w:t>
            </w:r>
          </w:p>
        </w:tc>
        <w:tc>
          <w:tcPr>
            <w:tcW w:w="2110" w:type="dxa"/>
            <w:vAlign w:val="center"/>
          </w:tcPr>
          <w:p w14:paraId="23AC900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107.50 </w:t>
            </w:r>
          </w:p>
        </w:tc>
        <w:tc>
          <w:tcPr>
            <w:tcW w:w="2841" w:type="dxa"/>
            <w:vAlign w:val="center"/>
          </w:tcPr>
          <w:p w14:paraId="1ADF5028">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2.30 </w:t>
            </w:r>
          </w:p>
        </w:tc>
      </w:tr>
      <w:tr w14:paraId="7D4F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F27A6B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25高经01</w:t>
            </w:r>
          </w:p>
        </w:tc>
        <w:tc>
          <w:tcPr>
            <w:tcW w:w="2110" w:type="dxa"/>
            <w:vAlign w:val="center"/>
          </w:tcPr>
          <w:p w14:paraId="5F122B5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104.46 </w:t>
            </w:r>
          </w:p>
        </w:tc>
        <w:tc>
          <w:tcPr>
            <w:tcW w:w="2841" w:type="dxa"/>
            <w:vAlign w:val="center"/>
          </w:tcPr>
          <w:p w14:paraId="0E17648A">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2.23 </w:t>
            </w:r>
          </w:p>
        </w:tc>
      </w:tr>
      <w:tr w14:paraId="3E5F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E7E6E3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22明光01</w:t>
            </w:r>
          </w:p>
        </w:tc>
        <w:tc>
          <w:tcPr>
            <w:tcW w:w="2110" w:type="dxa"/>
            <w:vAlign w:val="center"/>
          </w:tcPr>
          <w:p w14:paraId="7D21C18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104.29 </w:t>
            </w:r>
          </w:p>
        </w:tc>
        <w:tc>
          <w:tcPr>
            <w:tcW w:w="2841" w:type="dxa"/>
            <w:vAlign w:val="center"/>
          </w:tcPr>
          <w:p w14:paraId="3A289D5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2.23 </w:t>
            </w:r>
          </w:p>
        </w:tc>
      </w:tr>
    </w:tbl>
    <w:p w14:paraId="52E713AB">
      <w:pPr>
        <w:spacing w:line="480" w:lineRule="auto"/>
        <w:rPr>
          <w:rFonts w:ascii="宋体" w:hAnsi="宋体" w:eastAsia="宋体" w:cs="宋体"/>
          <w:b/>
          <w:bCs/>
          <w:sz w:val="24"/>
        </w:rPr>
      </w:pPr>
      <w:r>
        <w:rPr>
          <w:rFonts w:hint="eastAsia" w:ascii="宋体" w:hAnsi="宋体" w:eastAsia="宋体" w:cs="宋体"/>
          <w:b/>
          <w:bCs/>
          <w:sz w:val="24"/>
        </w:rPr>
        <w:t>备注：</w:t>
      </w:r>
    </w:p>
    <w:p w14:paraId="20B12C61">
      <w:pPr>
        <w:spacing w:line="480" w:lineRule="auto"/>
        <w:rPr>
          <w:rFonts w:ascii="宋体" w:hAnsi="宋体" w:eastAsia="宋体" w:cs="宋体"/>
          <w:b/>
          <w:bCs/>
          <w:sz w:val="24"/>
        </w:rPr>
      </w:pPr>
      <w:r>
        <w:rPr>
          <w:rFonts w:hint="eastAsia" w:ascii="宋体" w:hAnsi="宋体" w:eastAsia="宋体" w:cs="宋体"/>
          <w:b/>
          <w:bCs/>
          <w:sz w:val="24"/>
        </w:rPr>
        <w:t xml:space="preserve">上述各类资产的投资占比，根据报告期末的实际运作情况计算得出，该资产配置会随后续实际投资情况动态变化。 </w:t>
      </w:r>
    </w:p>
    <w:p w14:paraId="4A956DAF">
      <w:pPr>
        <w:spacing w:line="480" w:lineRule="auto"/>
        <w:rPr>
          <w:rFonts w:ascii="宋体" w:hAnsi="宋体" w:eastAsia="宋体" w:cs="宋体"/>
          <w:b/>
          <w:bCs/>
          <w:sz w:val="24"/>
        </w:rPr>
      </w:pPr>
      <w:r>
        <w:rPr>
          <w:rFonts w:hint="eastAsia" w:ascii="宋体" w:hAnsi="宋体" w:eastAsia="宋体" w:cs="宋体"/>
          <w:b/>
          <w:bCs/>
          <w:sz w:val="24"/>
        </w:rPr>
        <w:t>特此公告！</w:t>
      </w:r>
    </w:p>
    <w:p w14:paraId="4AD48EDA">
      <w:pPr>
        <w:spacing w:line="480" w:lineRule="auto"/>
        <w:rPr>
          <w:rFonts w:ascii="宋体" w:hAnsi="宋体" w:eastAsia="宋体" w:cs="宋体"/>
          <w:b/>
          <w:bCs/>
          <w:sz w:val="24"/>
        </w:rPr>
      </w:pPr>
    </w:p>
    <w:p w14:paraId="1D5B8A23">
      <w:pPr>
        <w:spacing w:line="480" w:lineRule="auto"/>
        <w:rPr>
          <w:rFonts w:ascii="宋体" w:hAnsi="宋体" w:eastAsia="宋体" w:cs="宋体"/>
          <w:b/>
          <w:bCs/>
          <w:sz w:val="24"/>
        </w:rPr>
      </w:pPr>
    </w:p>
    <w:p w14:paraId="305D1C9A">
      <w:pPr>
        <w:spacing w:line="480" w:lineRule="auto"/>
        <w:rPr>
          <w:rFonts w:ascii="宋体" w:hAnsi="宋体" w:eastAsia="宋体" w:cs="宋体"/>
          <w:b/>
          <w:bCs/>
          <w:sz w:val="24"/>
        </w:rPr>
      </w:pPr>
    </w:p>
    <w:p w14:paraId="09FF2F8E">
      <w:pPr>
        <w:spacing w:line="480" w:lineRule="auto"/>
        <w:jc w:val="right"/>
        <w:rPr>
          <w:rFonts w:ascii="宋体" w:hAnsi="宋体" w:eastAsia="宋体" w:cs="宋体"/>
          <w:b/>
          <w:bCs/>
          <w:sz w:val="24"/>
        </w:rPr>
      </w:pPr>
      <w:r>
        <w:rPr>
          <w:rFonts w:hint="eastAsia" w:ascii="宋体" w:hAnsi="宋体" w:eastAsia="宋体" w:cs="宋体"/>
          <w:b/>
          <w:bCs/>
          <w:sz w:val="24"/>
        </w:rPr>
        <w:t xml:space="preserve">                                    浙江上虞农村商业银行股份有限公司</w:t>
      </w:r>
    </w:p>
    <w:p w14:paraId="1A1414A3">
      <w:pPr>
        <w:spacing w:line="480" w:lineRule="auto"/>
        <w:jc w:val="right"/>
        <w:rPr>
          <w:rFonts w:ascii="宋体" w:hAnsi="宋体" w:eastAsia="宋体" w:cs="宋体"/>
          <w:b/>
          <w:bCs/>
          <w:sz w:val="24"/>
        </w:rPr>
      </w:pPr>
      <w:r>
        <w:rPr>
          <w:rFonts w:hint="eastAsia" w:ascii="宋体" w:hAnsi="宋体" w:eastAsia="宋体" w:cs="宋体"/>
          <w:b/>
          <w:bCs/>
          <w:sz w:val="24"/>
        </w:rPr>
        <w:t>2025-</w:t>
      </w:r>
      <w:r>
        <w:rPr>
          <w:rFonts w:hint="eastAsia" w:ascii="宋体" w:hAnsi="宋体" w:eastAsia="宋体" w:cs="宋体"/>
          <w:b/>
          <w:bCs/>
          <w:sz w:val="24"/>
          <w:lang w:val="en-US" w:eastAsia="zh-CN"/>
        </w:rPr>
        <w:t>7</w:t>
      </w:r>
      <w:r>
        <w:rPr>
          <w:rFonts w:hint="eastAsia" w:ascii="宋体" w:hAnsi="宋体" w:eastAsia="宋体" w:cs="宋体"/>
          <w:b/>
          <w:bCs/>
          <w:sz w:val="24"/>
        </w:rPr>
        <w:t>-15</w:t>
      </w:r>
    </w:p>
    <w:p w14:paraId="32281F81">
      <w:pPr>
        <w:spacing w:line="480" w:lineRule="auto"/>
        <w:rPr>
          <w:rFonts w:ascii="宋体" w:hAnsi="宋体" w:eastAsia="宋体" w:cs="宋体"/>
          <w:b/>
          <w:bCs/>
          <w:sz w:val="24"/>
        </w:rPr>
      </w:pPr>
    </w:p>
    <w:p w14:paraId="6CF2A6A1">
      <w:pPr>
        <w:spacing w:line="480" w:lineRule="auto"/>
        <w:rPr>
          <w:rFonts w:ascii="宋体" w:hAnsi="宋体" w:eastAsia="宋体" w:cs="宋体"/>
          <w:b/>
          <w:bCs/>
          <w:sz w:val="24"/>
        </w:rPr>
      </w:pPr>
    </w:p>
    <w:p w14:paraId="741A947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5C0"/>
    <w:rsid w:val="00220099"/>
    <w:rsid w:val="008675C0"/>
    <w:rsid w:val="1046241C"/>
    <w:rsid w:val="2EC258F1"/>
    <w:rsid w:val="33A8045C"/>
    <w:rsid w:val="43A32F6C"/>
    <w:rsid w:val="4C56326A"/>
    <w:rsid w:val="59014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999</Words>
  <Characters>1319</Characters>
  <Lines>10</Lines>
  <Paragraphs>2</Paragraphs>
  <TotalTime>0</TotalTime>
  <ScaleCrop>false</ScaleCrop>
  <LinksUpToDate>false</LinksUpToDate>
  <CharactersWithSpaces>1398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2025-04-02T00:41:00Z</dcterms:created>
  <dc:creator>ADMIN</dc:creator>
  <cp:lastModifiedBy>Wenny</cp:lastModifiedBy>
  <dcterms:modified xsi:type="dcterms:W3CDTF">2025-07-03T02:36:12Z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eyJoZGlkIjoiMTI0NWFlYzc5YjA3NTIzNzRjZWMxOGQyZDhiM2RjZTYiLCJ1c2VySWQiOiIzMzA2Nzg5MzkifQ==</vt:lpwstr>
  </property>
  <property fmtid="{D5CDD505-2E9C-101B-9397-08002B2CF9AE}" pid="3" name="KSOProductBuildVer">
    <vt:lpwstr>2052-12.1.0.21541</vt:lpwstr>
  </property>
  <property fmtid="{D5CDD505-2E9C-101B-9397-08002B2CF9AE}" pid="4" name="ICV">
    <vt:lpwstr>9F7B9A0CA9EF4355B17A506D0EB1BD2A_12</vt:lpwstr>
  </property>
</Properties>
</file>