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A8EB0">
      <w:pPr>
        <w:tabs>
          <w:tab w:val="left" w:pos="0"/>
        </w:tabs>
        <w:jc w:val="center"/>
        <w:rPr>
          <w:rFonts w:hint="eastAsia" w:ascii="黑体" w:hAnsi="宋体" w:eastAsia="黑体" w:cs="宋体"/>
          <w:b/>
          <w:color w:val="353739"/>
          <w:kern w:val="36"/>
          <w:sz w:val="36"/>
          <w:szCs w:val="36"/>
          <w:lang w:val="en-US" w:eastAsia="zh-CN" w:bidi="ar-SA"/>
        </w:rPr>
      </w:pPr>
      <w:r>
        <w:rPr>
          <w:rFonts w:hint="eastAsia" w:ascii="黑体" w:hAnsi="宋体" w:eastAsia="黑体" w:cs="宋体"/>
          <w:b/>
          <w:color w:val="353739"/>
          <w:kern w:val="36"/>
          <w:sz w:val="36"/>
          <w:szCs w:val="36"/>
          <w:lang w:val="en-US" w:eastAsia="zh-CN" w:bidi="ar-SA"/>
        </w:rPr>
        <w:t>上虞农商银行“丰收·信福”2024年第45期（新客）</w:t>
      </w:r>
    </w:p>
    <w:p w14:paraId="703952CA">
      <w:pPr>
        <w:tabs>
          <w:tab w:val="left" w:pos="0"/>
        </w:tabs>
        <w:jc w:val="center"/>
        <w:rPr>
          <w:rFonts w:hint="default" w:ascii="宋体" w:hAnsi="宋体" w:eastAsia="黑体" w:cs="宋体"/>
          <w:b/>
          <w:color w:val="333333"/>
          <w:kern w:val="0"/>
          <w:sz w:val="32"/>
          <w:szCs w:val="32"/>
          <w:lang w:val="en-US" w:eastAsia="zh-CN"/>
        </w:rPr>
      </w:pPr>
      <w:r>
        <w:rPr>
          <w:rFonts w:hint="eastAsia" w:ascii="黑体" w:hAnsi="宋体" w:eastAsia="黑体" w:cs="宋体"/>
          <w:b/>
          <w:color w:val="353739"/>
          <w:kern w:val="36"/>
          <w:sz w:val="36"/>
          <w:szCs w:val="36"/>
          <w:lang w:val="en-US" w:eastAsia="zh-CN" w:bidi="ar-SA"/>
        </w:rPr>
        <w:t>封闭式净值型人民币理财产品</w:t>
      </w:r>
      <w:r>
        <w:rPr>
          <w:rFonts w:hint="eastAsia" w:ascii="黑体" w:eastAsia="黑体"/>
          <w:b/>
          <w:color w:val="353739"/>
          <w:sz w:val="36"/>
          <w:szCs w:val="36"/>
          <w:lang w:val="en-US" w:eastAsia="zh-CN"/>
        </w:rPr>
        <w:t>变更事项的公告</w:t>
      </w:r>
    </w:p>
    <w:p w14:paraId="276E9167">
      <w:pPr>
        <w:widowControl/>
        <w:spacing w:line="560" w:lineRule="exact"/>
        <w:jc w:val="left"/>
        <w:rPr>
          <w:rFonts w:ascii="宋体" w:hAnsi="宋体" w:eastAsia="宋体" w:cs="宋体"/>
          <w:b/>
          <w:color w:val="333333"/>
          <w:kern w:val="0"/>
          <w:sz w:val="24"/>
          <w:szCs w:val="24"/>
        </w:rPr>
      </w:pPr>
      <w:r>
        <w:rPr>
          <w:rFonts w:hint="eastAsia" w:ascii="宋体" w:hAnsi="宋体" w:eastAsia="宋体" w:cs="宋体"/>
          <w:b w:val="0"/>
          <w:bCs/>
          <w:color w:val="333333"/>
          <w:kern w:val="0"/>
          <w:sz w:val="24"/>
          <w:szCs w:val="24"/>
        </w:rPr>
        <w:t>尊敬的</w:t>
      </w:r>
      <w:r>
        <w:rPr>
          <w:rFonts w:hint="eastAsia" w:ascii="宋体" w:hAnsi="宋体" w:cs="宋体"/>
          <w:b w:val="0"/>
          <w:bCs/>
          <w:color w:val="333333"/>
          <w:kern w:val="0"/>
          <w:sz w:val="24"/>
          <w:szCs w:val="24"/>
          <w:lang w:val="en-US" w:eastAsia="zh-CN"/>
        </w:rPr>
        <w:t>投资者</w:t>
      </w:r>
      <w:r>
        <w:rPr>
          <w:rFonts w:hint="eastAsia" w:ascii="宋体" w:hAnsi="宋体" w:eastAsia="宋体" w:cs="宋体"/>
          <w:b w:val="0"/>
          <w:bCs/>
          <w:color w:val="333333"/>
          <w:kern w:val="0"/>
          <w:sz w:val="24"/>
          <w:szCs w:val="24"/>
        </w:rPr>
        <w:t>：</w:t>
      </w:r>
    </w:p>
    <w:p w14:paraId="312A92A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根据本行工作安排，为优化上虞农商银行“丰收·信福”2024年第45期（新客）封闭式净值型人民币理财产品的管理，提升服务能力，本行决定对产品进行变更。现将有关事项公告如下：</w:t>
      </w:r>
    </w:p>
    <w:p w14:paraId="0702A78C">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eastAsia="宋体" w:cs="宋体"/>
          <w:color w:val="333333"/>
          <w:kern w:val="0"/>
          <w:sz w:val="24"/>
          <w:szCs w:val="24"/>
          <w:lang w:val="en-US" w:eastAsia="zh-CN" w:bidi="ar-SA"/>
        </w:rPr>
        <w:t>一、</w:t>
      </w:r>
      <w:r>
        <w:rPr>
          <w:rFonts w:hint="eastAsia" w:ascii="宋体" w:hAnsi="宋体" w:cs="宋体"/>
          <w:color w:val="333333"/>
          <w:kern w:val="0"/>
          <w:sz w:val="24"/>
          <w:szCs w:val="24"/>
          <w:lang w:val="en-US" w:eastAsia="zh-CN"/>
        </w:rPr>
        <w:t>产品信息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5036"/>
      </w:tblGrid>
      <w:tr w14:paraId="3B5F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noWrap w:val="0"/>
            <w:vAlign w:val="center"/>
          </w:tcPr>
          <w:p w14:paraId="106581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产品代码</w:t>
            </w:r>
          </w:p>
        </w:tc>
        <w:tc>
          <w:tcPr>
            <w:tcW w:w="5036" w:type="dxa"/>
            <w:noWrap w:val="0"/>
            <w:vAlign w:val="top"/>
          </w:tcPr>
          <w:p w14:paraId="23762CC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333333"/>
                <w:kern w:val="0"/>
                <w:sz w:val="24"/>
                <w:szCs w:val="24"/>
                <w:vertAlign w:val="baseline"/>
                <w:lang w:val="en-US" w:eastAsia="zh-CN"/>
              </w:rPr>
            </w:pPr>
            <w:r>
              <w:rPr>
                <w:rFonts w:hint="eastAsia" w:ascii="宋体" w:hAnsi="宋体" w:eastAsia="宋体" w:cs="宋体"/>
                <w:color w:val="333333"/>
                <w:kern w:val="0"/>
                <w:sz w:val="24"/>
                <w:szCs w:val="24"/>
                <w:lang w:val="en-US" w:eastAsia="zh-CN"/>
              </w:rPr>
              <w:t>FSXFFBJZ89220240</w:t>
            </w:r>
            <w:r>
              <w:rPr>
                <w:rFonts w:hint="eastAsia" w:ascii="宋体" w:hAnsi="宋体" w:cs="宋体"/>
                <w:color w:val="333333"/>
                <w:kern w:val="0"/>
                <w:sz w:val="24"/>
                <w:szCs w:val="24"/>
                <w:lang w:val="en-US" w:eastAsia="zh-CN"/>
              </w:rPr>
              <w:t>45</w:t>
            </w:r>
          </w:p>
        </w:tc>
      </w:tr>
      <w:tr w14:paraId="2799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noWrap w:val="0"/>
            <w:vAlign w:val="center"/>
          </w:tcPr>
          <w:p w14:paraId="67158AE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产品名称</w:t>
            </w:r>
          </w:p>
        </w:tc>
        <w:tc>
          <w:tcPr>
            <w:tcW w:w="5036" w:type="dxa"/>
            <w:noWrap w:val="0"/>
            <w:vAlign w:val="top"/>
          </w:tcPr>
          <w:p w14:paraId="732DF1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333333"/>
                <w:kern w:val="0"/>
                <w:sz w:val="24"/>
                <w:szCs w:val="24"/>
                <w:vertAlign w:val="baseline"/>
                <w:lang w:val="en-US" w:eastAsia="zh-CN"/>
              </w:rPr>
            </w:pPr>
            <w:r>
              <w:rPr>
                <w:rFonts w:hint="eastAsia" w:ascii="宋体" w:hAnsi="宋体" w:eastAsia="宋体" w:cs="宋体"/>
                <w:color w:val="333333"/>
                <w:kern w:val="0"/>
                <w:sz w:val="24"/>
                <w:szCs w:val="24"/>
                <w:lang w:val="en-US" w:eastAsia="zh-CN"/>
              </w:rPr>
              <w:t>上虞农商银行“丰收·信福”2024年</w:t>
            </w:r>
            <w:r>
              <w:rPr>
                <w:rFonts w:hint="eastAsia" w:ascii="宋体" w:hAnsi="宋体" w:cs="宋体"/>
                <w:color w:val="333333"/>
                <w:kern w:val="0"/>
                <w:sz w:val="24"/>
                <w:szCs w:val="24"/>
                <w:lang w:val="en-US" w:eastAsia="zh-CN"/>
              </w:rPr>
              <w:t>第45期</w:t>
            </w:r>
            <w:r>
              <w:rPr>
                <w:rFonts w:hint="eastAsia" w:ascii="宋体" w:hAnsi="宋体" w:eastAsia="宋体" w:cs="宋体"/>
                <w:color w:val="333333"/>
                <w:kern w:val="0"/>
                <w:sz w:val="24"/>
                <w:szCs w:val="24"/>
                <w:lang w:val="en-US" w:eastAsia="zh-CN"/>
              </w:rPr>
              <w:t>（新客）封闭式净值型人民币理财产品</w:t>
            </w:r>
          </w:p>
        </w:tc>
      </w:tr>
      <w:tr w14:paraId="5A0D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86" w:type="dxa"/>
            <w:noWrap w:val="0"/>
            <w:vAlign w:val="center"/>
          </w:tcPr>
          <w:p w14:paraId="246453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产品登记编码</w:t>
            </w:r>
          </w:p>
        </w:tc>
        <w:tc>
          <w:tcPr>
            <w:tcW w:w="5036" w:type="dxa"/>
            <w:noWrap w:val="0"/>
            <w:vAlign w:val="top"/>
          </w:tcPr>
          <w:p w14:paraId="06EAF4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333333"/>
                <w:kern w:val="0"/>
                <w:sz w:val="24"/>
                <w:szCs w:val="24"/>
                <w:vertAlign w:val="baseline"/>
                <w:lang w:val="en-US" w:eastAsia="zh-CN"/>
              </w:rPr>
            </w:pPr>
            <w:r>
              <w:rPr>
                <w:rFonts w:hint="eastAsia" w:ascii="宋体" w:hAnsi="宋体" w:eastAsia="宋体" w:cs="宋体"/>
                <w:color w:val="auto"/>
                <w:kern w:val="0"/>
                <w:sz w:val="24"/>
                <w:szCs w:val="24"/>
              </w:rPr>
              <w:t>C112492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0000</w:t>
            </w:r>
            <w:r>
              <w:rPr>
                <w:rFonts w:hint="eastAsia" w:ascii="宋体" w:hAnsi="宋体" w:cs="宋体"/>
                <w:color w:val="auto"/>
                <w:kern w:val="0"/>
                <w:sz w:val="24"/>
                <w:szCs w:val="24"/>
                <w:lang w:val="en-US" w:eastAsia="zh-CN"/>
              </w:rPr>
              <w:t>44</w:t>
            </w:r>
          </w:p>
        </w:tc>
      </w:tr>
      <w:tr w14:paraId="60B9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noWrap w:val="0"/>
            <w:vAlign w:val="center"/>
          </w:tcPr>
          <w:p w14:paraId="303FC90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产品成立日</w:t>
            </w:r>
          </w:p>
        </w:tc>
        <w:tc>
          <w:tcPr>
            <w:tcW w:w="5036" w:type="dxa"/>
            <w:noWrap w:val="0"/>
            <w:vAlign w:val="top"/>
          </w:tcPr>
          <w:p w14:paraId="423CBF1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lang w:val="en-US" w:eastAsia="zh-CN"/>
              </w:rPr>
              <w:t>2024年</w:t>
            </w:r>
            <w:r>
              <w:rPr>
                <w:rFonts w:hint="eastAsia" w:ascii="宋体" w:hAnsi="宋体" w:cs="宋体"/>
                <w:color w:val="333333"/>
                <w:kern w:val="0"/>
                <w:sz w:val="24"/>
                <w:szCs w:val="24"/>
                <w:lang w:val="en-US" w:eastAsia="zh-CN"/>
              </w:rPr>
              <w:t>10</w:t>
            </w:r>
            <w:r>
              <w:rPr>
                <w:rFonts w:hint="eastAsia" w:ascii="宋体" w:hAnsi="宋体" w:eastAsia="宋体" w:cs="宋体"/>
                <w:color w:val="333333"/>
                <w:kern w:val="0"/>
                <w:sz w:val="24"/>
                <w:szCs w:val="24"/>
                <w:lang w:val="en-US" w:eastAsia="zh-CN"/>
              </w:rPr>
              <w:t>月</w:t>
            </w:r>
            <w:r>
              <w:rPr>
                <w:rFonts w:hint="eastAsia" w:ascii="宋体" w:hAnsi="宋体" w:cs="宋体"/>
                <w:color w:val="333333"/>
                <w:kern w:val="0"/>
                <w:sz w:val="24"/>
                <w:szCs w:val="24"/>
                <w:lang w:val="en-US" w:eastAsia="zh-CN"/>
              </w:rPr>
              <w:t>08</w:t>
            </w:r>
            <w:r>
              <w:rPr>
                <w:rFonts w:hint="eastAsia" w:ascii="宋体" w:hAnsi="宋体" w:eastAsia="宋体" w:cs="宋体"/>
                <w:color w:val="333333"/>
                <w:kern w:val="0"/>
                <w:sz w:val="24"/>
                <w:szCs w:val="24"/>
                <w:lang w:val="en-US" w:eastAsia="zh-CN"/>
              </w:rPr>
              <w:t>日</w:t>
            </w:r>
          </w:p>
        </w:tc>
      </w:tr>
      <w:tr w14:paraId="72F4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noWrap w:val="0"/>
            <w:vAlign w:val="center"/>
          </w:tcPr>
          <w:p w14:paraId="22D1222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产品到期日</w:t>
            </w:r>
          </w:p>
        </w:tc>
        <w:tc>
          <w:tcPr>
            <w:tcW w:w="5036" w:type="dxa"/>
            <w:noWrap w:val="0"/>
            <w:vAlign w:val="top"/>
          </w:tcPr>
          <w:p w14:paraId="6D0A8E6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lang w:val="en-US" w:eastAsia="zh-CN"/>
              </w:rPr>
              <w:t>2025年</w:t>
            </w:r>
            <w:r>
              <w:rPr>
                <w:rFonts w:hint="eastAsia" w:ascii="宋体" w:hAnsi="宋体" w:cs="宋体"/>
                <w:color w:val="333333"/>
                <w:kern w:val="0"/>
                <w:sz w:val="24"/>
                <w:szCs w:val="24"/>
                <w:lang w:val="en-US" w:eastAsia="zh-CN"/>
              </w:rPr>
              <w:t>10</w:t>
            </w:r>
            <w:r>
              <w:rPr>
                <w:rFonts w:hint="eastAsia" w:ascii="宋体" w:hAnsi="宋体" w:eastAsia="宋体" w:cs="宋体"/>
                <w:color w:val="333333"/>
                <w:kern w:val="0"/>
                <w:sz w:val="24"/>
                <w:szCs w:val="24"/>
                <w:lang w:val="en-US" w:eastAsia="zh-CN"/>
              </w:rPr>
              <w:t>月</w:t>
            </w:r>
            <w:r>
              <w:rPr>
                <w:rFonts w:hint="eastAsia" w:ascii="宋体" w:hAnsi="宋体" w:cs="宋体"/>
                <w:color w:val="333333"/>
                <w:kern w:val="0"/>
                <w:sz w:val="24"/>
                <w:szCs w:val="24"/>
                <w:lang w:val="en-US" w:eastAsia="zh-CN"/>
              </w:rPr>
              <w:t>10</w:t>
            </w:r>
            <w:r>
              <w:rPr>
                <w:rFonts w:hint="eastAsia" w:ascii="宋体" w:hAnsi="宋体" w:eastAsia="宋体" w:cs="宋体"/>
                <w:color w:val="333333"/>
                <w:kern w:val="0"/>
                <w:sz w:val="24"/>
                <w:szCs w:val="24"/>
                <w:lang w:val="en-US" w:eastAsia="zh-CN"/>
              </w:rPr>
              <w:t>日</w:t>
            </w:r>
          </w:p>
        </w:tc>
      </w:tr>
      <w:tr w14:paraId="27A8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86" w:type="dxa"/>
            <w:noWrap w:val="0"/>
            <w:vAlign w:val="center"/>
          </w:tcPr>
          <w:p w14:paraId="2A04DF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333333"/>
                <w:kern w:val="0"/>
                <w:sz w:val="24"/>
                <w:szCs w:val="24"/>
                <w:vertAlign w:val="baseline"/>
                <w:lang w:eastAsia="zh-CN"/>
              </w:rPr>
            </w:pPr>
            <w:r>
              <w:rPr>
                <w:rFonts w:hint="eastAsia" w:ascii="宋体" w:hAnsi="宋体" w:eastAsia="宋体" w:cs="宋体"/>
                <w:color w:val="333333"/>
                <w:kern w:val="0"/>
                <w:sz w:val="24"/>
                <w:szCs w:val="24"/>
                <w:vertAlign w:val="baseline"/>
                <w:lang w:eastAsia="zh-CN"/>
              </w:rPr>
              <w:t>存续天数</w:t>
            </w:r>
          </w:p>
        </w:tc>
        <w:tc>
          <w:tcPr>
            <w:tcW w:w="5036" w:type="dxa"/>
            <w:noWrap w:val="0"/>
            <w:vAlign w:val="top"/>
          </w:tcPr>
          <w:p w14:paraId="24AE1A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333333"/>
                <w:kern w:val="0"/>
                <w:sz w:val="24"/>
                <w:szCs w:val="24"/>
                <w:vertAlign w:val="baseline"/>
                <w:lang w:val="en-US" w:eastAsia="zh-CN"/>
              </w:rPr>
            </w:pPr>
            <w:r>
              <w:rPr>
                <w:rFonts w:hint="eastAsia" w:ascii="宋体" w:hAnsi="宋体" w:cs="宋体"/>
                <w:color w:val="333333"/>
                <w:kern w:val="0"/>
                <w:sz w:val="24"/>
                <w:szCs w:val="24"/>
                <w:vertAlign w:val="baseline"/>
                <w:lang w:val="en-US" w:eastAsia="zh-CN"/>
              </w:rPr>
              <w:t>367</w:t>
            </w:r>
            <w:r>
              <w:rPr>
                <w:rFonts w:hint="eastAsia" w:ascii="宋体" w:hAnsi="宋体" w:eastAsia="宋体" w:cs="宋体"/>
                <w:color w:val="333333"/>
                <w:kern w:val="0"/>
                <w:sz w:val="24"/>
                <w:szCs w:val="24"/>
                <w:vertAlign w:val="baseline"/>
                <w:lang w:val="en-US" w:eastAsia="zh-CN"/>
              </w:rPr>
              <w:t>天</w:t>
            </w:r>
          </w:p>
        </w:tc>
      </w:tr>
    </w:tbl>
    <w:p w14:paraId="0D5B2EB0">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二、变更事项</w:t>
      </w:r>
    </w:p>
    <w:p w14:paraId="716B6F8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自2025年08月06日起，本产品投资由华西证券股份有限公司管理的集合资产管理计划变更为由兴证证券资产管理有限公司管理的集合资产管理计划。兴证证券资产管理有限公司前身为兴业证券资产管理部，2000年即获准开展资产管理业务，2014年正式成为兴业证券旗下子公司，注册资本8亿元。</w:t>
      </w:r>
    </w:p>
    <w:p w14:paraId="0ED5E19B">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三、变更原因</w:t>
      </w:r>
    </w:p>
    <w:p w14:paraId="71E8D13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基于华西证券股份有限公司业务发展策略调整，经本行审慎评估决策，为保障产品平稳运行及投资者利益，决定进行更换。</w:t>
      </w:r>
    </w:p>
    <w:p w14:paraId="2699500A">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40" w:lineRule="exact"/>
        <w:ind w:left="480" w:leftChars="0" w:firstLine="0" w:firstLineChars="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对投资者的影响及安排</w:t>
      </w:r>
    </w:p>
    <w:p w14:paraId="32C5F265">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40" w:lineRule="exact"/>
        <w:ind w:left="480" w:leftChars="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本次产品变更，不会改变本理财产品原有的风险等级以及业绩比较基准。</w:t>
      </w:r>
    </w:p>
    <w:p w14:paraId="00B93795">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40" w:lineRule="exact"/>
        <w:ind w:left="480" w:leftChars="0"/>
        <w:jc w:val="left"/>
        <w:textAlignment w:val="auto"/>
        <w:rPr>
          <w:rFonts w:hint="default"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您持有的本理财产品份额不受影响，已产生的收益及您的权利义务保持不变。</w:t>
      </w:r>
    </w:p>
    <w:p w14:paraId="06684F7D">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40" w:lineRule="exact"/>
        <w:ind w:left="480" w:leftChars="0"/>
        <w:jc w:val="left"/>
        <w:textAlignment w:val="auto"/>
        <w:rPr>
          <w:rFonts w:hint="default"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您无需进行任何操作。</w:t>
      </w:r>
    </w:p>
    <w:p w14:paraId="5F1CCA41">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440" w:lineRule="exact"/>
        <w:ind w:left="480" w:leftChars="0"/>
        <w:jc w:val="left"/>
        <w:textAlignment w:val="auto"/>
        <w:rPr>
          <w:rFonts w:hint="default"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变更生效后，兴证证券资产管理有限公司依法承担资产管理计划的销售、登记、备案、信披、管理、运作等职责。</w:t>
      </w:r>
    </w:p>
    <w:p w14:paraId="30CA8062">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440" w:lineRule="exact"/>
        <w:ind w:left="480" w:leftChars="0" w:firstLine="0" w:firstLineChars="0"/>
        <w:jc w:val="left"/>
        <w:textAlignment w:val="auto"/>
        <w:rPr>
          <w:rFonts w:hint="default"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风险提示</w:t>
      </w:r>
    </w:p>
    <w:p w14:paraId="77E60CCE">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jc w:val="left"/>
        <w:textAlignment w:val="auto"/>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该事项变更后，新资产管理计划的管理人的管理能力及未来市场表现等因素仍可能导致产品净值波动。</w:t>
      </w:r>
    </w:p>
    <w:p w14:paraId="0A158C86">
      <w:pPr>
        <w:widowControl/>
        <w:spacing w:line="56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感谢您一直以来对</w:t>
      </w:r>
      <w:r>
        <w:rPr>
          <w:rFonts w:hint="eastAsia" w:ascii="宋体" w:hAnsi="宋体" w:eastAsia="宋体" w:cs="宋体"/>
          <w:color w:val="333333"/>
          <w:kern w:val="0"/>
          <w:sz w:val="24"/>
          <w:szCs w:val="24"/>
          <w:lang w:eastAsia="zh-CN"/>
        </w:rPr>
        <w:t>上虞农商</w:t>
      </w:r>
      <w:r>
        <w:rPr>
          <w:rFonts w:hint="eastAsia" w:ascii="宋体" w:hAnsi="宋体" w:eastAsia="宋体" w:cs="宋体"/>
          <w:color w:val="333333"/>
          <w:kern w:val="0"/>
          <w:sz w:val="24"/>
          <w:szCs w:val="24"/>
        </w:rPr>
        <w:t xml:space="preserve">银行的支持！ </w:t>
      </w:r>
    </w:p>
    <w:p w14:paraId="12AF2CB4">
      <w:pPr>
        <w:widowControl/>
        <w:spacing w:line="560" w:lineRule="exact"/>
        <w:ind w:firstLine="480" w:firstLineChars="20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特此公告</w:t>
      </w:r>
      <w:r>
        <w:rPr>
          <w:rFonts w:hint="eastAsia" w:ascii="宋体" w:hAnsi="宋体" w:eastAsia="宋体" w:cs="宋体"/>
          <w:color w:val="333333"/>
          <w:kern w:val="0"/>
          <w:sz w:val="24"/>
          <w:szCs w:val="24"/>
          <w:lang w:eastAsia="zh-CN"/>
        </w:rPr>
        <w:t>！</w:t>
      </w:r>
    </w:p>
    <w:p w14:paraId="0B934611">
      <w:pPr>
        <w:widowControl/>
        <w:wordWrap/>
        <w:spacing w:before="100" w:beforeAutospacing="1" w:after="100" w:afterAutospacing="1" w:line="360" w:lineRule="atLeast"/>
        <w:jc w:val="right"/>
        <w:rPr>
          <w:rFonts w:ascii="宋体" w:hAnsi="宋体" w:eastAsia="宋体" w:cs="宋体"/>
          <w:color w:val="333333"/>
          <w:kern w:val="0"/>
          <w:sz w:val="24"/>
          <w:szCs w:val="24"/>
        </w:rPr>
      </w:pPr>
      <w:r>
        <w:rPr>
          <w:rFonts w:hint="eastAsia"/>
          <w:lang w:val="en-US" w:eastAsia="zh-CN"/>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lang w:eastAsia="zh-CN"/>
        </w:rPr>
        <w:t>浙江上虞农村商业银行股份有限公司</w:t>
      </w:r>
      <w:r>
        <w:rPr>
          <w:rFonts w:ascii="宋体" w:hAnsi="宋体" w:eastAsia="宋体" w:cs="宋体"/>
          <w:color w:val="333333"/>
          <w:kern w:val="0"/>
          <w:sz w:val="24"/>
          <w:szCs w:val="24"/>
        </w:rPr>
        <w:t xml:space="preserve">         </w:t>
      </w:r>
    </w:p>
    <w:p w14:paraId="4D96BE7B">
      <w:pPr>
        <w:widowControl/>
        <w:wordWrap/>
        <w:spacing w:before="100" w:beforeAutospacing="1" w:after="100" w:afterAutospacing="1" w:line="360" w:lineRule="atLeast"/>
        <w:jc w:val="center"/>
        <w:rPr>
          <w:rFonts w:hint="eastAsia" w:ascii="仿宋" w:hAnsi="仿宋" w:eastAsia="仿宋" w:cs="仿宋"/>
          <w:b/>
          <w:color w:val="0C0C0C"/>
          <w:sz w:val="36"/>
          <w:szCs w:val="36"/>
        </w:rPr>
      </w:pPr>
      <w:r>
        <w:rPr>
          <w:rFonts w:hint="eastAsia" w:ascii="宋体" w:hAnsi="宋体" w:eastAsia="宋体" w:cs="宋体"/>
          <w:color w:val="333333"/>
          <w:kern w:val="0"/>
          <w:sz w:val="24"/>
          <w:szCs w:val="24"/>
          <w:lang w:val="en-US" w:eastAsia="zh-CN"/>
        </w:rPr>
        <w:t xml:space="preserve">                                      2025</w:t>
      </w:r>
      <w:r>
        <w:rPr>
          <w:rFonts w:hint="eastAsia" w:ascii="宋体" w:hAnsi="宋体" w:eastAsia="宋体" w:cs="宋体"/>
          <w:color w:val="333333"/>
          <w:kern w:val="0"/>
          <w:sz w:val="24"/>
          <w:szCs w:val="24"/>
        </w:rPr>
        <w:t>年</w:t>
      </w:r>
      <w:r>
        <w:rPr>
          <w:rFonts w:hint="eastAsia" w:ascii="宋体" w:hAnsi="宋体" w:cs="宋体"/>
          <w:color w:val="333333"/>
          <w:kern w:val="0"/>
          <w:sz w:val="24"/>
          <w:szCs w:val="24"/>
          <w:lang w:val="en-US" w:eastAsia="zh-CN"/>
        </w:rPr>
        <w:t>08</w:t>
      </w:r>
      <w:r>
        <w:rPr>
          <w:rFonts w:hint="eastAsia" w:ascii="宋体" w:hAnsi="宋体" w:eastAsia="宋体" w:cs="宋体"/>
          <w:color w:val="333333"/>
          <w:kern w:val="0"/>
          <w:sz w:val="24"/>
          <w:szCs w:val="24"/>
          <w:lang w:val="en-US" w:eastAsia="zh-CN"/>
        </w:rPr>
        <w:t>月</w:t>
      </w:r>
      <w:r>
        <w:rPr>
          <w:rFonts w:hint="eastAsia" w:ascii="宋体" w:hAnsi="宋体" w:cs="宋体"/>
          <w:color w:val="333333"/>
          <w:kern w:val="0"/>
          <w:sz w:val="24"/>
          <w:szCs w:val="24"/>
          <w:lang w:val="en-US" w:eastAsia="zh-CN"/>
        </w:rPr>
        <w:t>04</w:t>
      </w:r>
      <w:bookmarkStart w:id="0" w:name="_GoBack"/>
      <w:bookmarkEnd w:id="0"/>
      <w:r>
        <w:rPr>
          <w:rFonts w:hint="eastAsia" w:ascii="宋体" w:hAnsi="宋体" w:eastAsia="宋体" w:cs="宋体"/>
          <w:color w:val="333333"/>
          <w:kern w:val="0"/>
          <w:sz w:val="24"/>
          <w:szCs w:val="24"/>
          <w:lang w:val="en-US" w:eastAsia="zh-CN"/>
        </w:rPr>
        <w:t>日</w:t>
      </w:r>
    </w:p>
    <w:p w14:paraId="0AE51564">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440" w:lineRule="exact"/>
        <w:ind w:firstLine="480" w:firstLineChars="200"/>
        <w:jc w:val="left"/>
        <w:textAlignment w:val="auto"/>
        <w:rPr>
          <w:rFonts w:hint="default" w:ascii="宋体" w:hAnsi="宋体" w:cs="宋体"/>
          <w:color w:val="333333"/>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9E3CE"/>
    <w:multiLevelType w:val="singleLevel"/>
    <w:tmpl w:val="93F9E3CE"/>
    <w:lvl w:ilvl="0" w:tentative="0">
      <w:start w:val="1"/>
      <w:numFmt w:val="decimal"/>
      <w:lvlText w:val="%1."/>
      <w:lvlJc w:val="left"/>
      <w:pPr>
        <w:tabs>
          <w:tab w:val="left" w:pos="312"/>
        </w:tabs>
      </w:pPr>
    </w:lvl>
  </w:abstractNum>
  <w:abstractNum w:abstractNumId="1">
    <w:nsid w:val="94997A91"/>
    <w:multiLevelType w:val="singleLevel"/>
    <w:tmpl w:val="94997A91"/>
    <w:lvl w:ilvl="0" w:tentative="0">
      <w:start w:val="4"/>
      <w:numFmt w:val="chineseCounting"/>
      <w:suff w:val="nothing"/>
      <w:lvlText w:val="%1、"/>
      <w:lvlJc w:val="left"/>
      <w:pPr>
        <w:ind w:left="48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33101"/>
    <w:rsid w:val="1B3A2C32"/>
    <w:rsid w:val="48847BF0"/>
    <w:rsid w:val="4C6125D7"/>
    <w:rsid w:val="6411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714</Characters>
  <Lines>0</Lines>
  <Paragraphs>0</Paragraphs>
  <TotalTime>25</TotalTime>
  <ScaleCrop>false</ScaleCrop>
  <LinksUpToDate>false</LinksUpToDate>
  <CharactersWithSpaces>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2025-07-07T07:35:00Z</dcterms:created>
  <dc:creator>Administrator</dc:creator>
  <cp:lastModifiedBy>WPS_1464534023</cp:lastModifiedBy>
  <dcterms:modified xsi:type="dcterms:W3CDTF">2025-08-04T07:55:45Z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eyJoZGlkIjoiZmNjZTJlNzdhMTAwYTg5ZjE3OGQwOTRlZjBhZWZkNDEiLCJ1c2VySWQiOiIyMTc3NDExNzQifQ==</vt:lpwstr>
  </property>
  <property fmtid="{D5CDD505-2E9C-101B-9397-08002B2CF9AE}" pid="4" name="ICV">
    <vt:lpwstr>421D7AC8BCAC469EA06451E743B19C94_12</vt:lpwstr>
  </property>
</Properties>
</file>