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06B" w:rsidRPr="00420584" w:rsidRDefault="00E15E4B">
      <w:pPr>
        <w:rPr>
          <w:sz w:val="28"/>
          <w:szCs w:val="28"/>
        </w:rPr>
      </w:pPr>
      <w:r w:rsidRPr="00420584">
        <w:rPr>
          <w:rFonts w:hint="eastAsia"/>
          <w:sz w:val="28"/>
          <w:szCs w:val="28"/>
        </w:rPr>
        <w:t>附件</w:t>
      </w:r>
      <w:r w:rsidR="00064234">
        <w:rPr>
          <w:sz w:val="28"/>
          <w:szCs w:val="28"/>
        </w:rPr>
        <w:t>2</w:t>
      </w:r>
      <w:r w:rsidRPr="00420584">
        <w:rPr>
          <w:rFonts w:hint="eastAsia"/>
          <w:sz w:val="28"/>
          <w:szCs w:val="28"/>
        </w:rPr>
        <w:t>：</w:t>
      </w:r>
    </w:p>
    <w:p w:rsidR="00E15E4B" w:rsidRDefault="004A0E9F" w:rsidP="00E15E4B">
      <w:pPr>
        <w:jc w:val="center"/>
        <w:rPr>
          <w:rFonts w:ascii="方正小标宋简体" w:eastAsia="方正小标宋简体"/>
          <w:sz w:val="36"/>
          <w:szCs w:val="36"/>
        </w:rPr>
      </w:pPr>
      <w:r>
        <w:rPr>
          <w:rFonts w:ascii="方正小标宋简体" w:eastAsia="方正小标宋简体" w:hint="eastAsia"/>
          <w:sz w:val="36"/>
          <w:szCs w:val="36"/>
        </w:rPr>
        <w:t>上虞</w:t>
      </w:r>
      <w:r>
        <w:rPr>
          <w:rFonts w:ascii="方正小标宋简体" w:eastAsia="方正小标宋简体"/>
          <w:sz w:val="36"/>
          <w:szCs w:val="36"/>
        </w:rPr>
        <w:t>农商银行</w:t>
      </w:r>
      <w:r w:rsidR="00064234" w:rsidRPr="00064234">
        <w:rPr>
          <w:rFonts w:ascii="方正小标宋简体" w:eastAsia="方正小标宋简体" w:hint="eastAsia"/>
          <w:sz w:val="36"/>
          <w:szCs w:val="36"/>
        </w:rPr>
        <w:t>数据库运维安全系统产品技术要求</w:t>
      </w:r>
    </w:p>
    <w:p w:rsidR="00064234" w:rsidRPr="00E15E4B" w:rsidRDefault="00064234" w:rsidP="00E15E4B">
      <w:pPr>
        <w:jc w:val="center"/>
        <w:rPr>
          <w:rFonts w:ascii="方正小标宋简体" w:eastAsia="方正小标宋简体" w:hint="eastAsia"/>
          <w:sz w:val="36"/>
          <w:szCs w:val="36"/>
        </w:rPr>
      </w:pPr>
      <w:bookmarkStart w:id="0" w:name="_GoBack"/>
      <w:bookmarkEnd w:id="0"/>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274"/>
        <w:gridCol w:w="947"/>
        <w:gridCol w:w="803"/>
      </w:tblGrid>
      <w:tr w:rsidR="00064234" w:rsidRPr="0029475D" w:rsidTr="00610F87">
        <w:trPr>
          <w:trHeight w:val="630"/>
          <w:jc w:val="center"/>
        </w:trPr>
        <w:tc>
          <w:tcPr>
            <w:tcW w:w="654" w:type="pct"/>
            <w:shd w:val="clear" w:color="000000" w:fill="auto"/>
            <w:vAlign w:val="center"/>
            <w:hideMark/>
          </w:tcPr>
          <w:p w:rsidR="00064234" w:rsidRPr="0029475D" w:rsidRDefault="00064234" w:rsidP="00610F87">
            <w:pPr>
              <w:widowControl/>
              <w:spacing w:line="276" w:lineRule="auto"/>
              <w:jc w:val="center"/>
              <w:rPr>
                <w:rFonts w:ascii="宋体" w:hAnsi="宋体" w:cs="宋体"/>
                <w:b/>
                <w:bCs/>
                <w:kern w:val="0"/>
                <w:szCs w:val="21"/>
              </w:rPr>
            </w:pPr>
            <w:r>
              <w:rPr>
                <w:rFonts w:ascii="宋体" w:hAnsi="宋体" w:cs="宋体" w:hint="eastAsia"/>
                <w:b/>
                <w:bCs/>
                <w:kern w:val="0"/>
                <w:szCs w:val="21"/>
              </w:rPr>
              <w:t>指标项</w:t>
            </w:r>
          </w:p>
        </w:tc>
        <w:tc>
          <w:tcPr>
            <w:tcW w:w="3263" w:type="pct"/>
            <w:shd w:val="clear" w:color="000000" w:fill="auto"/>
            <w:vAlign w:val="center"/>
            <w:hideMark/>
          </w:tcPr>
          <w:p w:rsidR="00064234" w:rsidRPr="0029475D" w:rsidRDefault="00064234" w:rsidP="00610F87">
            <w:pPr>
              <w:widowControl/>
              <w:spacing w:line="276" w:lineRule="auto"/>
              <w:jc w:val="center"/>
              <w:rPr>
                <w:rFonts w:ascii="宋体" w:hAnsi="宋体" w:cs="宋体"/>
                <w:b/>
                <w:bCs/>
                <w:kern w:val="0"/>
                <w:szCs w:val="21"/>
              </w:rPr>
            </w:pPr>
            <w:r>
              <w:rPr>
                <w:rFonts w:ascii="宋体" w:hAnsi="宋体" w:cs="宋体" w:hint="eastAsia"/>
                <w:b/>
                <w:bCs/>
                <w:kern w:val="0"/>
                <w:szCs w:val="21"/>
              </w:rPr>
              <w:t>指标要求</w:t>
            </w:r>
          </w:p>
        </w:tc>
        <w:tc>
          <w:tcPr>
            <w:tcW w:w="586" w:type="pct"/>
            <w:shd w:val="clear" w:color="auto" w:fill="auto"/>
          </w:tcPr>
          <w:p w:rsidR="00064234" w:rsidRPr="0029475D" w:rsidRDefault="00064234" w:rsidP="00610F87">
            <w:pPr>
              <w:widowControl/>
              <w:spacing w:line="276" w:lineRule="auto"/>
              <w:jc w:val="center"/>
            </w:pPr>
            <w:r w:rsidRPr="008E5BE7">
              <w:rPr>
                <w:rFonts w:ascii="宋体" w:hAnsi="宋体" w:cs="宋体" w:hint="eastAsia"/>
                <w:b/>
                <w:bCs/>
                <w:kern w:val="0"/>
                <w:szCs w:val="21"/>
              </w:rPr>
              <w:t>是否满足要求</w:t>
            </w:r>
          </w:p>
        </w:tc>
        <w:tc>
          <w:tcPr>
            <w:tcW w:w="497" w:type="pct"/>
            <w:shd w:val="clear" w:color="auto" w:fill="auto"/>
          </w:tcPr>
          <w:p w:rsidR="00064234" w:rsidRPr="0029475D" w:rsidRDefault="00064234" w:rsidP="00610F87">
            <w:pPr>
              <w:widowControl/>
              <w:spacing w:line="276" w:lineRule="auto"/>
              <w:jc w:val="center"/>
            </w:pPr>
            <w:r w:rsidRPr="001160BF">
              <w:rPr>
                <w:rFonts w:ascii="宋体" w:hAnsi="宋体" w:cs="宋体" w:hint="eastAsia"/>
                <w:b/>
                <w:bCs/>
                <w:kern w:val="0"/>
                <w:szCs w:val="21"/>
              </w:rPr>
              <w:t>备注</w:t>
            </w:r>
          </w:p>
        </w:tc>
      </w:tr>
      <w:tr w:rsidR="00064234" w:rsidRPr="0029475D" w:rsidTr="00610F87">
        <w:trPr>
          <w:trHeight w:val="58"/>
          <w:jc w:val="center"/>
        </w:trPr>
        <w:tc>
          <w:tcPr>
            <w:tcW w:w="654" w:type="pct"/>
            <w:vAlign w:val="center"/>
            <w:hideMark/>
          </w:tcPr>
          <w:p w:rsidR="00064234" w:rsidRPr="007E6F33" w:rsidRDefault="00064234" w:rsidP="00610F87">
            <w:pPr>
              <w:widowControl/>
              <w:spacing w:line="276" w:lineRule="auto"/>
              <w:jc w:val="center"/>
              <w:rPr>
                <w:rFonts w:ascii="宋体" w:hAnsi="宋体" w:cs="宋体"/>
                <w:kern w:val="0"/>
                <w:szCs w:val="21"/>
              </w:rPr>
            </w:pPr>
            <w:r w:rsidRPr="007E6F33">
              <w:rPr>
                <w:rFonts w:ascii="宋体" w:hAnsi="宋体" w:cs="宋体" w:hint="eastAsia"/>
                <w:kern w:val="0"/>
                <w:szCs w:val="21"/>
              </w:rPr>
              <w:t>产品规格</w:t>
            </w:r>
          </w:p>
        </w:tc>
        <w:tc>
          <w:tcPr>
            <w:tcW w:w="3263" w:type="pct"/>
            <w:vAlign w:val="center"/>
          </w:tcPr>
          <w:p w:rsidR="00064234" w:rsidRDefault="00064234" w:rsidP="00610F87">
            <w:pPr>
              <w:widowControl/>
              <w:jc w:val="left"/>
              <w:rPr>
                <w:rFonts w:ascii="宋体" w:hAnsi="宋体" w:cs="宋体"/>
                <w:color w:val="000000"/>
                <w:kern w:val="0"/>
                <w:sz w:val="22"/>
              </w:rPr>
            </w:pPr>
            <w:r w:rsidRPr="0029475D">
              <w:rPr>
                <w:rFonts w:ascii="宋体" w:hAnsi="宋体" w:cs="宋体" w:hint="eastAsia"/>
                <w:kern w:val="0"/>
                <w:szCs w:val="21"/>
              </w:rPr>
              <w:t>★</w:t>
            </w:r>
            <w:r>
              <w:rPr>
                <w:rFonts w:ascii="宋体" w:hAnsi="宋体" w:cs="宋体" w:hint="eastAsia"/>
                <w:color w:val="000000"/>
                <w:kern w:val="0"/>
                <w:sz w:val="22"/>
              </w:rPr>
              <w:t>系统资源要求：</w:t>
            </w:r>
          </w:p>
          <w:p w:rsidR="00064234" w:rsidRDefault="00064234" w:rsidP="00610F87">
            <w:pPr>
              <w:widowControl/>
              <w:jc w:val="left"/>
              <w:rPr>
                <w:rFonts w:ascii="宋体" w:hAnsi="宋体" w:cs="宋体"/>
                <w:color w:val="000000"/>
                <w:kern w:val="0"/>
                <w:sz w:val="22"/>
              </w:rPr>
            </w:pPr>
            <w:r>
              <w:rPr>
                <w:rFonts w:ascii="宋体" w:hAnsi="宋体" w:cs="宋体" w:hint="eastAsia"/>
                <w:color w:val="000000"/>
                <w:kern w:val="0"/>
                <w:sz w:val="22"/>
              </w:rPr>
              <w:t>CPU：支持海光/鲲鹏；</w:t>
            </w:r>
          </w:p>
          <w:p w:rsidR="00064234" w:rsidRDefault="00064234" w:rsidP="00610F87">
            <w:pPr>
              <w:widowControl/>
              <w:jc w:val="left"/>
              <w:rPr>
                <w:rFonts w:ascii="宋体" w:hAnsi="宋体" w:cs="宋体"/>
                <w:color w:val="000000"/>
                <w:kern w:val="0"/>
                <w:sz w:val="22"/>
              </w:rPr>
            </w:pPr>
            <w:r>
              <w:rPr>
                <w:rFonts w:ascii="宋体" w:hAnsi="宋体" w:cs="宋体" w:hint="eastAsia"/>
                <w:color w:val="000000"/>
                <w:kern w:val="0"/>
                <w:sz w:val="22"/>
              </w:rPr>
              <w:t>操作系统：银河麒麟V10；</w:t>
            </w:r>
          </w:p>
          <w:p w:rsidR="00064234" w:rsidRDefault="00064234" w:rsidP="00610F87">
            <w:pPr>
              <w:widowControl/>
              <w:jc w:val="left"/>
              <w:rPr>
                <w:rFonts w:ascii="宋体" w:hAnsi="宋体" w:cs="宋体"/>
                <w:color w:val="000000"/>
                <w:kern w:val="0"/>
                <w:sz w:val="22"/>
              </w:rPr>
            </w:pPr>
            <w:r>
              <w:rPr>
                <w:rFonts w:ascii="宋体" w:hAnsi="宋体" w:cs="宋体" w:hint="eastAsia"/>
                <w:color w:val="000000"/>
                <w:kern w:val="0"/>
                <w:sz w:val="22"/>
              </w:rPr>
              <w:t>数据库运维安全系统要求支持全栈国产化部署，产品本身技术也必须国产化；</w:t>
            </w:r>
            <w:r w:rsidRPr="00CF641A">
              <w:rPr>
                <w:rFonts w:ascii="宋体" w:hAnsi="宋体" w:cs="宋体" w:hint="eastAsia"/>
                <w:b/>
                <w:kern w:val="0"/>
                <w:szCs w:val="21"/>
              </w:rPr>
              <w:t>（提供相关证明材料）</w:t>
            </w:r>
          </w:p>
          <w:p w:rsidR="00064234" w:rsidRPr="0029475D" w:rsidRDefault="00064234" w:rsidP="00610F87">
            <w:pPr>
              <w:widowControl/>
              <w:jc w:val="left"/>
              <w:rPr>
                <w:rFonts w:ascii="宋体" w:hAnsi="宋体" w:cs="宋体"/>
                <w:color w:val="FF0000"/>
                <w:kern w:val="0"/>
                <w:szCs w:val="21"/>
              </w:rPr>
            </w:pPr>
            <w:r>
              <w:rPr>
                <w:rFonts w:ascii="宋体" w:hAnsi="宋体" w:cs="宋体" w:hint="eastAsia"/>
                <w:color w:val="000000"/>
                <w:kern w:val="0"/>
                <w:sz w:val="22"/>
              </w:rPr>
              <w:t>标配20个数据库(IP+Port)授权</w:t>
            </w:r>
          </w:p>
        </w:tc>
        <w:tc>
          <w:tcPr>
            <w:tcW w:w="586" w:type="pct"/>
            <w:shd w:val="clear" w:color="auto" w:fill="auto"/>
          </w:tcPr>
          <w:p w:rsidR="00064234" w:rsidRPr="008E5BE7"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605"/>
          <w:jc w:val="center"/>
        </w:trPr>
        <w:tc>
          <w:tcPr>
            <w:tcW w:w="654" w:type="pct"/>
            <w:vAlign w:val="center"/>
            <w:hideMark/>
          </w:tcPr>
          <w:p w:rsidR="00064234" w:rsidRPr="007E6F33" w:rsidRDefault="00064234" w:rsidP="00610F87">
            <w:pPr>
              <w:widowControl/>
              <w:spacing w:line="276" w:lineRule="auto"/>
              <w:jc w:val="center"/>
              <w:rPr>
                <w:rFonts w:ascii="宋体" w:hAnsi="宋体" w:cs="宋体"/>
                <w:kern w:val="0"/>
                <w:szCs w:val="21"/>
              </w:rPr>
            </w:pPr>
            <w:r w:rsidRPr="007E6F33">
              <w:rPr>
                <w:rFonts w:ascii="宋体" w:hAnsi="宋体" w:cs="宋体" w:hint="eastAsia"/>
                <w:kern w:val="0"/>
                <w:szCs w:val="21"/>
              </w:rPr>
              <w:t>性能要求</w:t>
            </w:r>
          </w:p>
        </w:tc>
        <w:tc>
          <w:tcPr>
            <w:tcW w:w="3263" w:type="pct"/>
            <w:vAlign w:val="center"/>
          </w:tcPr>
          <w:p w:rsidR="00064234" w:rsidRPr="0029475D" w:rsidRDefault="00064234" w:rsidP="00610F87">
            <w:pPr>
              <w:widowControl/>
              <w:spacing w:line="276" w:lineRule="auto"/>
              <w:jc w:val="left"/>
              <w:rPr>
                <w:rFonts w:ascii="宋体" w:hAnsi="宋体" w:cs="宋体"/>
                <w:color w:val="FF0000"/>
                <w:kern w:val="0"/>
                <w:szCs w:val="21"/>
              </w:rPr>
            </w:pPr>
            <w:r>
              <w:rPr>
                <w:rFonts w:ascii="宋体" w:hAnsi="宋体" w:cs="宋体" w:hint="eastAsia"/>
                <w:color w:val="000000"/>
                <w:kern w:val="0"/>
                <w:sz w:val="22"/>
              </w:rPr>
              <w:t>性能指标：纯数据库流量：60Mbps；SQL峰值吞吐量：6000条/秒；在线会话：2500 个。</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58"/>
          <w:jc w:val="center"/>
        </w:trPr>
        <w:tc>
          <w:tcPr>
            <w:tcW w:w="654" w:type="pct"/>
            <w:vMerge w:val="restart"/>
            <w:vAlign w:val="center"/>
            <w:hideMark/>
          </w:tcPr>
          <w:p w:rsidR="00064234" w:rsidRPr="0029475D" w:rsidRDefault="00064234" w:rsidP="00610F87">
            <w:pPr>
              <w:widowControl/>
              <w:spacing w:line="276" w:lineRule="auto"/>
              <w:jc w:val="center"/>
              <w:rPr>
                <w:rFonts w:ascii="宋体" w:hAnsi="宋体" w:cs="宋体"/>
                <w:kern w:val="0"/>
                <w:szCs w:val="21"/>
              </w:rPr>
            </w:pPr>
            <w:r w:rsidRPr="0029475D">
              <w:rPr>
                <w:rFonts w:ascii="宋体" w:hAnsi="宋体" w:cs="宋体" w:hint="eastAsia"/>
                <w:kern w:val="0"/>
                <w:szCs w:val="21"/>
              </w:rPr>
              <w:t>高可用机制</w:t>
            </w: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支持HA双机主备自动切换，支持策略同步、会话同步机制，保障主备间的一致性。</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908"/>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★当系统防护规则配置冲突，无法正常访问，支持一键导通能力，临时关闭系统防护能力，使其正常访问进一步保障业务连续性。</w:t>
            </w:r>
            <w:r w:rsidRPr="00CF641A">
              <w:rPr>
                <w:rFonts w:ascii="宋体" w:hAnsi="宋体" w:cs="宋体" w:hint="eastAsia"/>
                <w:b/>
                <w:kern w:val="0"/>
                <w:szCs w:val="21"/>
              </w:rPr>
              <w:t>（提供相关证明材料）</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329"/>
          <w:jc w:val="center"/>
        </w:trPr>
        <w:tc>
          <w:tcPr>
            <w:tcW w:w="654" w:type="pct"/>
            <w:vMerge w:val="restart"/>
            <w:vAlign w:val="center"/>
            <w:hideMark/>
          </w:tcPr>
          <w:p w:rsidR="00064234" w:rsidRPr="0029475D" w:rsidRDefault="00064234" w:rsidP="00610F87">
            <w:pPr>
              <w:widowControl/>
              <w:spacing w:line="276" w:lineRule="auto"/>
              <w:jc w:val="center"/>
              <w:rPr>
                <w:rFonts w:ascii="宋体" w:hAnsi="宋体" w:cs="宋体"/>
                <w:kern w:val="0"/>
                <w:szCs w:val="21"/>
              </w:rPr>
            </w:pPr>
            <w:r w:rsidRPr="0029475D">
              <w:rPr>
                <w:rFonts w:ascii="宋体" w:hAnsi="宋体" w:cs="宋体" w:hint="eastAsia"/>
                <w:kern w:val="0"/>
                <w:szCs w:val="21"/>
              </w:rPr>
              <w:t>协议支持</w:t>
            </w: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支持国际数据库类型：</w:t>
            </w:r>
            <w:r w:rsidRPr="00D00623">
              <w:rPr>
                <w:rFonts w:ascii="宋体" w:hAnsi="宋体" w:cs="宋体" w:hint="eastAsia"/>
                <w:kern w:val="0"/>
                <w:szCs w:val="21"/>
              </w:rPr>
              <w:t>SQL Server、MySQL、Db2、Oracle；</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315"/>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支持国产数据库：</w:t>
            </w:r>
            <w:r w:rsidRPr="00A65DD8">
              <w:rPr>
                <w:rFonts w:ascii="宋体" w:hAnsi="宋体" w:cs="宋体"/>
                <w:kern w:val="0"/>
                <w:szCs w:val="21"/>
              </w:rPr>
              <w:t>PolarDB for MySQL</w:t>
            </w:r>
            <w:r>
              <w:rPr>
                <w:rFonts w:ascii="宋体" w:hAnsi="宋体" w:cs="宋体" w:hint="eastAsia"/>
                <w:kern w:val="0"/>
                <w:szCs w:val="21"/>
              </w:rPr>
              <w:t>、</w:t>
            </w:r>
            <w:r w:rsidRPr="0029475D">
              <w:rPr>
                <w:rFonts w:ascii="宋体" w:hAnsi="宋体" w:cs="宋体" w:hint="eastAsia"/>
                <w:kern w:val="0"/>
                <w:szCs w:val="21"/>
              </w:rPr>
              <w:t>DM、</w:t>
            </w:r>
            <w:r>
              <w:rPr>
                <w:rFonts w:ascii="宋体" w:hAnsi="宋体" w:cs="宋体" w:hint="eastAsia"/>
                <w:kern w:val="0"/>
                <w:szCs w:val="21"/>
              </w:rPr>
              <w:t>t</w:t>
            </w:r>
            <w:r>
              <w:rPr>
                <w:rFonts w:ascii="宋体" w:hAnsi="宋体" w:cs="宋体"/>
                <w:kern w:val="0"/>
                <w:szCs w:val="21"/>
              </w:rPr>
              <w:t>dsql</w:t>
            </w:r>
            <w:r>
              <w:rPr>
                <w:rFonts w:ascii="宋体" w:hAnsi="宋体" w:cs="宋体" w:hint="eastAsia"/>
                <w:kern w:val="0"/>
                <w:szCs w:val="21"/>
              </w:rPr>
              <w:t>、</w:t>
            </w:r>
            <w:r>
              <w:rPr>
                <w:rFonts w:ascii="宋体" w:hAnsi="宋体" w:cs="宋体"/>
                <w:kern w:val="0"/>
                <w:szCs w:val="21"/>
              </w:rPr>
              <w:t>tbase</w:t>
            </w:r>
            <w:r>
              <w:rPr>
                <w:rFonts w:ascii="宋体" w:hAnsi="宋体" w:cs="宋体" w:hint="eastAsia"/>
                <w:kern w:val="0"/>
                <w:szCs w:val="21"/>
              </w:rPr>
              <w:t>、</w:t>
            </w:r>
            <w:r w:rsidRPr="0029475D">
              <w:rPr>
                <w:rFonts w:ascii="宋体" w:hAnsi="宋体" w:cs="宋体" w:hint="eastAsia"/>
                <w:kern w:val="0"/>
                <w:szCs w:val="21"/>
              </w:rPr>
              <w:t>CirroData、TeleDB、TelePG、GBase 8a</w:t>
            </w:r>
            <w:r>
              <w:rPr>
                <w:rFonts w:ascii="宋体" w:hAnsi="宋体" w:cs="宋体" w:hint="eastAsia"/>
                <w:kern w:val="0"/>
                <w:szCs w:val="21"/>
              </w:rPr>
              <w:t>等</w:t>
            </w:r>
            <w:r w:rsidRPr="0029475D">
              <w:rPr>
                <w:rFonts w:ascii="宋体" w:hAnsi="宋体" w:cs="宋体" w:hint="eastAsia"/>
                <w:kern w:val="0"/>
                <w:szCs w:val="21"/>
              </w:rPr>
              <w:t>；</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315"/>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支持大数据：</w:t>
            </w:r>
            <w:r w:rsidRPr="00D00623">
              <w:rPr>
                <w:rFonts w:ascii="宋体" w:hAnsi="宋体" w:cs="宋体" w:hint="eastAsia"/>
                <w:kern w:val="0"/>
                <w:szCs w:val="21"/>
              </w:rPr>
              <w:t>A</w:t>
            </w:r>
            <w:r w:rsidRPr="00D00623">
              <w:rPr>
                <w:rFonts w:ascii="宋体" w:hAnsi="宋体" w:cs="宋体"/>
                <w:kern w:val="0"/>
                <w:szCs w:val="21"/>
              </w:rPr>
              <w:t>rgoDb</w:t>
            </w:r>
            <w:r>
              <w:rPr>
                <w:rFonts w:ascii="宋体" w:hAnsi="宋体" w:cs="宋体" w:hint="eastAsia"/>
                <w:kern w:val="0"/>
                <w:szCs w:val="21"/>
              </w:rPr>
              <w:t>、</w:t>
            </w:r>
            <w:r w:rsidRPr="0029475D">
              <w:rPr>
                <w:rFonts w:ascii="宋体" w:hAnsi="宋体" w:cs="宋体" w:hint="eastAsia"/>
                <w:kern w:val="0"/>
                <w:szCs w:val="21"/>
              </w:rPr>
              <w:t>Hive、Impala、Spark SQL</w:t>
            </w:r>
            <w:r>
              <w:rPr>
                <w:rFonts w:ascii="宋体" w:hAnsi="宋体" w:cs="宋体" w:hint="eastAsia"/>
                <w:kern w:val="0"/>
                <w:szCs w:val="21"/>
              </w:rPr>
              <w:t>等</w:t>
            </w:r>
            <w:r w:rsidRPr="0029475D">
              <w:rPr>
                <w:rFonts w:ascii="宋体" w:hAnsi="宋体" w:cs="宋体" w:hint="eastAsia"/>
                <w:kern w:val="0"/>
                <w:szCs w:val="21"/>
              </w:rPr>
              <w:t>；</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315"/>
          <w:jc w:val="center"/>
        </w:trPr>
        <w:tc>
          <w:tcPr>
            <w:tcW w:w="654" w:type="pct"/>
            <w:vMerge/>
            <w:vAlign w:val="center"/>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tcPr>
          <w:p w:rsidR="00064234" w:rsidRPr="0029475D" w:rsidRDefault="00064234" w:rsidP="00610F87">
            <w:pPr>
              <w:widowControl/>
              <w:spacing w:line="276" w:lineRule="auto"/>
              <w:jc w:val="left"/>
              <w:rPr>
                <w:rFonts w:ascii="宋体" w:hAnsi="宋体" w:cs="宋体"/>
                <w:kern w:val="0"/>
                <w:szCs w:val="21"/>
              </w:rPr>
            </w:pPr>
            <w:r>
              <w:rPr>
                <w:rFonts w:ascii="宋体" w:hAnsi="宋体" w:cs="宋体" w:hint="eastAsia"/>
                <w:kern w:val="0"/>
                <w:szCs w:val="21"/>
              </w:rPr>
              <w:t>支持其他开源数据库：</w:t>
            </w:r>
            <w:r w:rsidRPr="001160BF">
              <w:rPr>
                <w:rFonts w:ascii="宋体" w:hAnsi="宋体" w:cs="宋体"/>
                <w:kern w:val="0"/>
                <w:szCs w:val="21"/>
              </w:rPr>
              <w:t>Redis</w:t>
            </w:r>
            <w:r>
              <w:rPr>
                <w:rFonts w:ascii="宋体" w:hAnsi="宋体" w:cs="宋体" w:hint="eastAsia"/>
                <w:kern w:val="0"/>
                <w:szCs w:val="21"/>
              </w:rPr>
              <w:t>等；</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908"/>
          <w:jc w:val="center"/>
        </w:trPr>
        <w:tc>
          <w:tcPr>
            <w:tcW w:w="654" w:type="pct"/>
            <w:vMerge w:val="restart"/>
            <w:vAlign w:val="center"/>
            <w:hideMark/>
          </w:tcPr>
          <w:p w:rsidR="00064234" w:rsidRPr="0029475D" w:rsidRDefault="00064234" w:rsidP="00610F87">
            <w:pPr>
              <w:widowControl/>
              <w:spacing w:line="276" w:lineRule="auto"/>
              <w:jc w:val="center"/>
              <w:rPr>
                <w:rFonts w:ascii="宋体" w:hAnsi="宋体" w:cs="宋体"/>
                <w:kern w:val="0"/>
                <w:szCs w:val="21"/>
              </w:rPr>
            </w:pPr>
            <w:r w:rsidRPr="0029475D">
              <w:rPr>
                <w:rFonts w:ascii="宋体" w:hAnsi="宋体" w:cs="宋体" w:hint="eastAsia"/>
                <w:kern w:val="0"/>
                <w:szCs w:val="21"/>
              </w:rPr>
              <w:t>运维身份认证</w:t>
            </w: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支持UKEY</w:t>
            </w:r>
            <w:r>
              <w:rPr>
                <w:rFonts w:ascii="宋体" w:hAnsi="宋体" w:cs="宋体" w:hint="eastAsia"/>
                <w:kern w:val="0"/>
                <w:szCs w:val="21"/>
              </w:rPr>
              <w:t>、证书认证、密码代填</w:t>
            </w:r>
            <w:r w:rsidRPr="0029475D">
              <w:rPr>
                <w:rFonts w:ascii="宋体" w:hAnsi="宋体" w:cs="宋体" w:hint="eastAsia"/>
                <w:kern w:val="0"/>
                <w:szCs w:val="21"/>
              </w:rPr>
              <w:t>等身份认证方式；身份认证后，通过与运维管理系统设置的防护规则联动，实现数据库准入和数据库操作行为防控。</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605"/>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w:t>
            </w:r>
            <w:r w:rsidRPr="00D00623">
              <w:rPr>
                <w:rFonts w:ascii="宋体" w:hAnsi="宋体" w:cs="宋体" w:hint="eastAsia"/>
                <w:color w:val="000000" w:themeColor="text1"/>
                <w:kern w:val="0"/>
                <w:szCs w:val="21"/>
              </w:rPr>
              <w:t>支持WEB认证，</w:t>
            </w:r>
            <w:r w:rsidRPr="0029475D">
              <w:rPr>
                <w:rFonts w:ascii="宋体" w:hAnsi="宋体" w:cs="宋体" w:hint="eastAsia"/>
                <w:kern w:val="0"/>
                <w:szCs w:val="21"/>
              </w:rPr>
              <w:t>用户登录数据库，必须进行web认证，不认证客户端不能登录</w:t>
            </w:r>
            <w:r>
              <w:rPr>
                <w:rFonts w:ascii="宋体" w:hAnsi="宋体" w:cs="宋体" w:hint="eastAsia"/>
                <w:kern w:val="0"/>
                <w:szCs w:val="21"/>
              </w:rPr>
              <w:t>。</w:t>
            </w:r>
            <w:r w:rsidRPr="00CF641A">
              <w:rPr>
                <w:rFonts w:ascii="宋体" w:hAnsi="宋体" w:cs="宋体" w:hint="eastAsia"/>
                <w:b/>
                <w:kern w:val="0"/>
                <w:szCs w:val="21"/>
              </w:rPr>
              <w:t>（提供相关证明材料）</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605"/>
          <w:jc w:val="center"/>
        </w:trPr>
        <w:tc>
          <w:tcPr>
            <w:tcW w:w="654" w:type="pct"/>
            <w:vMerge/>
            <w:vAlign w:val="center"/>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tcPr>
          <w:p w:rsidR="00064234" w:rsidRPr="0029475D" w:rsidRDefault="00064234" w:rsidP="00610F87">
            <w:pPr>
              <w:widowControl/>
              <w:spacing w:line="276" w:lineRule="auto"/>
              <w:jc w:val="left"/>
              <w:rPr>
                <w:rFonts w:ascii="宋体" w:hAnsi="宋体" w:cs="宋体"/>
                <w:kern w:val="0"/>
                <w:szCs w:val="21"/>
              </w:rPr>
            </w:pPr>
            <w:r w:rsidRPr="00AD4D68">
              <w:rPr>
                <w:rFonts w:ascii="宋体" w:hAnsi="宋体" w:cs="宋体" w:hint="eastAsia"/>
                <w:kern w:val="0"/>
                <w:szCs w:val="21"/>
              </w:rPr>
              <w:t>数据库登录账号在设定时间内一直没有进行操作，强制登出</w:t>
            </w:r>
            <w:r>
              <w:rPr>
                <w:rFonts w:ascii="宋体" w:hAnsi="宋体" w:cs="宋体" w:hint="eastAsia"/>
                <w:kern w:val="0"/>
                <w:szCs w:val="21"/>
              </w:rPr>
              <w:t>；</w:t>
            </w:r>
            <w:r w:rsidRPr="00AD4D68">
              <w:rPr>
                <w:rFonts w:ascii="宋体" w:hAnsi="宋体" w:cs="宋体" w:hint="eastAsia"/>
                <w:kern w:val="0"/>
                <w:szCs w:val="21"/>
              </w:rPr>
              <w:t>超过设定的时长仍然未活跃状态的账号将被锁定</w:t>
            </w:r>
            <w:r>
              <w:rPr>
                <w:rFonts w:ascii="宋体" w:hAnsi="宋体" w:cs="宋体" w:hint="eastAsia"/>
                <w:kern w:val="0"/>
                <w:szCs w:val="21"/>
              </w:rPr>
              <w:t>；</w:t>
            </w:r>
            <w:r w:rsidRPr="00AD4D68">
              <w:rPr>
                <w:rFonts w:ascii="宋体" w:hAnsi="宋体" w:cs="宋体" w:hint="eastAsia"/>
                <w:kern w:val="0"/>
                <w:szCs w:val="21"/>
              </w:rPr>
              <w:t>防口令暴破为防止外部攻击，对非法多次尝试破解账号密码的行为做锁定账号处理</w:t>
            </w:r>
            <w:r>
              <w:rPr>
                <w:rFonts w:ascii="宋体" w:hAnsi="宋体" w:cs="宋体" w:hint="eastAsia"/>
                <w:kern w:val="0"/>
                <w:szCs w:val="21"/>
              </w:rPr>
              <w:t>。</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1150"/>
          <w:jc w:val="center"/>
        </w:trPr>
        <w:tc>
          <w:tcPr>
            <w:tcW w:w="654" w:type="pct"/>
            <w:vAlign w:val="center"/>
            <w:hideMark/>
          </w:tcPr>
          <w:p w:rsidR="00064234" w:rsidRPr="0029475D" w:rsidRDefault="00064234" w:rsidP="00610F87">
            <w:pPr>
              <w:widowControl/>
              <w:spacing w:line="276" w:lineRule="auto"/>
              <w:jc w:val="center"/>
              <w:rPr>
                <w:rFonts w:ascii="宋体" w:hAnsi="宋体" w:cs="宋体"/>
                <w:kern w:val="0"/>
                <w:szCs w:val="21"/>
              </w:rPr>
            </w:pPr>
            <w:r w:rsidRPr="0029475D">
              <w:rPr>
                <w:rFonts w:ascii="宋体" w:hAnsi="宋体" w:cs="宋体" w:hint="eastAsia"/>
                <w:kern w:val="0"/>
                <w:szCs w:val="21"/>
              </w:rPr>
              <w:t>密码代填</w:t>
            </w: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★不需要进行客户端安装部署，基于系统内运维自然人身份关联数据库账号，使每一个运维人员都具有专属的运维账号密码，实现数据库账号及密码对运维人员保密的前提下开展数据库运维和管理工作。</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605"/>
          <w:jc w:val="center"/>
        </w:trPr>
        <w:tc>
          <w:tcPr>
            <w:tcW w:w="654" w:type="pct"/>
            <w:vMerge w:val="restart"/>
            <w:vAlign w:val="center"/>
            <w:hideMark/>
          </w:tcPr>
          <w:p w:rsidR="00064234" w:rsidRPr="0029475D" w:rsidRDefault="00064234" w:rsidP="00610F87">
            <w:pPr>
              <w:widowControl/>
              <w:spacing w:line="276" w:lineRule="auto"/>
              <w:jc w:val="center"/>
              <w:rPr>
                <w:rFonts w:ascii="宋体" w:hAnsi="宋体" w:cs="宋体"/>
                <w:kern w:val="0"/>
                <w:szCs w:val="21"/>
              </w:rPr>
            </w:pPr>
            <w:r w:rsidRPr="0029475D">
              <w:rPr>
                <w:rFonts w:ascii="宋体" w:hAnsi="宋体" w:cs="宋体" w:hint="eastAsia"/>
                <w:kern w:val="0"/>
                <w:szCs w:val="21"/>
              </w:rPr>
              <w:lastRenderedPageBreak/>
              <w:t>企业身份管理</w:t>
            </w: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支持运维人员按照所在企业组织架构管理，对其进行用户权限设置及运维身份加强认证配置等。</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1086"/>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可以新建不同用户，分配不同数据库权限，实现不同用户之间数据隔离</w:t>
            </w:r>
            <w:r>
              <w:rPr>
                <w:rFonts w:ascii="宋体" w:hAnsi="宋体" w:cs="宋体" w:hint="eastAsia"/>
                <w:kern w:val="0"/>
                <w:szCs w:val="21"/>
              </w:rPr>
              <w:t>。</w:t>
            </w:r>
          </w:p>
        </w:tc>
        <w:tc>
          <w:tcPr>
            <w:tcW w:w="586" w:type="pct"/>
            <w:tcBorders>
              <w:bottom w:val="single" w:sz="4" w:space="0" w:color="auto"/>
            </w:tcBorders>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841"/>
          <w:jc w:val="center"/>
        </w:trPr>
        <w:tc>
          <w:tcPr>
            <w:tcW w:w="654" w:type="pct"/>
            <w:vMerge w:val="restart"/>
            <w:vAlign w:val="center"/>
          </w:tcPr>
          <w:p w:rsidR="00064234" w:rsidRPr="0093260C" w:rsidRDefault="00064234" w:rsidP="00610F87">
            <w:pPr>
              <w:widowControl/>
              <w:spacing w:line="276" w:lineRule="auto"/>
              <w:rPr>
                <w:rFonts w:ascii="宋体" w:hAnsi="宋体" w:cs="宋体"/>
                <w:kern w:val="0"/>
                <w:szCs w:val="21"/>
                <w:highlight w:val="yellow"/>
              </w:rPr>
            </w:pPr>
            <w:r w:rsidRPr="004F0108">
              <w:rPr>
                <w:rFonts w:ascii="宋体" w:hAnsi="宋体" w:cs="宋体" w:hint="eastAsia"/>
                <w:kern w:val="0"/>
                <w:szCs w:val="21"/>
              </w:rPr>
              <w:t>权限管控</w:t>
            </w:r>
          </w:p>
        </w:tc>
        <w:tc>
          <w:tcPr>
            <w:tcW w:w="3263" w:type="pct"/>
            <w:vAlign w:val="center"/>
          </w:tcPr>
          <w:p w:rsidR="00064234" w:rsidRPr="0093260C" w:rsidRDefault="00064234" w:rsidP="00610F87">
            <w:pPr>
              <w:widowControl/>
              <w:spacing w:line="276" w:lineRule="auto"/>
              <w:jc w:val="left"/>
              <w:rPr>
                <w:rFonts w:ascii="宋体" w:hAnsi="宋体" w:cs="宋体"/>
                <w:color w:val="FF0000"/>
                <w:kern w:val="0"/>
                <w:szCs w:val="21"/>
                <w:highlight w:val="yellow"/>
              </w:rPr>
            </w:pPr>
            <w:r w:rsidRPr="00AC5E2B">
              <w:rPr>
                <w:rFonts w:ascii="宋体" w:hAnsi="宋体" w:cs="宋体" w:hint="eastAsia"/>
                <w:color w:val="000000" w:themeColor="text1"/>
                <w:kern w:val="0"/>
                <w:szCs w:val="21"/>
              </w:rPr>
              <w:t>包含原敏感资产授权、数据源权限设置、行数控制功能。通过使用权限模板方式，将预定义的模板一键授予访问身份，该模块可以实现基于敏感资产的所有访问数据授权以及访问数据库对象的授权，同时增加运维脱敏开关，行数控制能力。配置敏感资产权限或数据库对象权限即代表获得该数据库的准入权限。</w:t>
            </w:r>
          </w:p>
        </w:tc>
        <w:tc>
          <w:tcPr>
            <w:tcW w:w="586" w:type="pct"/>
            <w:tcBorders>
              <w:bottom w:val="single" w:sz="4" w:space="0" w:color="auto"/>
            </w:tcBorders>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1122"/>
          <w:jc w:val="center"/>
        </w:trPr>
        <w:tc>
          <w:tcPr>
            <w:tcW w:w="654" w:type="pct"/>
            <w:vMerge/>
            <w:vAlign w:val="center"/>
          </w:tcPr>
          <w:p w:rsidR="00064234" w:rsidRPr="0093260C" w:rsidRDefault="00064234" w:rsidP="00610F87">
            <w:pPr>
              <w:widowControl/>
              <w:spacing w:line="276" w:lineRule="auto"/>
              <w:jc w:val="center"/>
              <w:rPr>
                <w:rFonts w:ascii="宋体" w:hAnsi="宋体" w:cs="宋体"/>
                <w:kern w:val="0"/>
                <w:szCs w:val="21"/>
                <w:highlight w:val="yellow"/>
              </w:rPr>
            </w:pPr>
          </w:p>
        </w:tc>
        <w:tc>
          <w:tcPr>
            <w:tcW w:w="3263" w:type="pct"/>
            <w:vAlign w:val="center"/>
          </w:tcPr>
          <w:p w:rsidR="00064234" w:rsidRPr="004F0108" w:rsidRDefault="00064234" w:rsidP="00610F87">
            <w:pPr>
              <w:widowControl/>
              <w:spacing w:line="276" w:lineRule="auto"/>
              <w:jc w:val="left"/>
              <w:rPr>
                <w:rFonts w:ascii="宋体" w:hAnsi="宋体" w:cs="宋体"/>
                <w:color w:val="000000" w:themeColor="text1"/>
                <w:kern w:val="0"/>
                <w:szCs w:val="21"/>
              </w:rPr>
            </w:pPr>
            <w:r w:rsidRPr="004F0108">
              <w:rPr>
                <w:rFonts w:ascii="宋体" w:hAnsi="宋体" w:cs="宋体" w:hint="eastAsia"/>
                <w:color w:val="000000" w:themeColor="text1"/>
                <w:kern w:val="0"/>
                <w:szCs w:val="21"/>
              </w:rPr>
              <w:t>实现运维管控和业务防护管控配置内容调整。</w:t>
            </w:r>
          </w:p>
          <w:p w:rsidR="00064234" w:rsidRPr="0093260C" w:rsidRDefault="00064234" w:rsidP="00610F87">
            <w:pPr>
              <w:widowControl/>
              <w:spacing w:line="276" w:lineRule="auto"/>
              <w:jc w:val="left"/>
              <w:rPr>
                <w:rFonts w:ascii="宋体" w:hAnsi="宋体" w:cs="宋体"/>
                <w:color w:val="000000" w:themeColor="text1"/>
                <w:kern w:val="0"/>
                <w:szCs w:val="21"/>
                <w:highlight w:val="yellow"/>
              </w:rPr>
            </w:pPr>
            <w:r w:rsidRPr="004F0108">
              <w:rPr>
                <w:rFonts w:ascii="宋体" w:hAnsi="宋体" w:cs="宋体" w:hint="eastAsia"/>
                <w:color w:val="000000" w:themeColor="text1"/>
                <w:kern w:val="0"/>
                <w:szCs w:val="21"/>
              </w:rPr>
              <w:t>针对不同身份信任度、不同风险等级设置不同的响应行为（通过、阻断行为、阻断连接、告警）</w:t>
            </w:r>
            <w:r>
              <w:rPr>
                <w:rFonts w:ascii="宋体" w:hAnsi="宋体" w:cs="宋体" w:hint="eastAsia"/>
                <w:color w:val="000000" w:themeColor="text1"/>
                <w:kern w:val="0"/>
                <w:szCs w:val="21"/>
              </w:rPr>
              <w:t>。</w:t>
            </w:r>
          </w:p>
        </w:tc>
        <w:tc>
          <w:tcPr>
            <w:tcW w:w="586" w:type="pct"/>
            <w:tcBorders>
              <w:bottom w:val="single" w:sz="4" w:space="0" w:color="auto"/>
            </w:tcBorders>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605"/>
          <w:jc w:val="center"/>
        </w:trPr>
        <w:tc>
          <w:tcPr>
            <w:tcW w:w="654" w:type="pct"/>
            <w:vMerge w:val="restart"/>
            <w:vAlign w:val="center"/>
            <w:hideMark/>
          </w:tcPr>
          <w:p w:rsidR="00064234" w:rsidRPr="0029475D" w:rsidRDefault="00064234" w:rsidP="00610F87">
            <w:pPr>
              <w:widowControl/>
              <w:spacing w:line="276" w:lineRule="auto"/>
              <w:jc w:val="center"/>
              <w:rPr>
                <w:rFonts w:ascii="宋体" w:hAnsi="宋体" w:cs="宋体"/>
                <w:kern w:val="0"/>
                <w:szCs w:val="21"/>
              </w:rPr>
            </w:pPr>
            <w:r w:rsidRPr="0029475D">
              <w:rPr>
                <w:rFonts w:ascii="宋体" w:hAnsi="宋体" w:cs="宋体" w:hint="eastAsia"/>
                <w:kern w:val="0"/>
                <w:szCs w:val="21"/>
              </w:rPr>
              <w:t>运维申请审批</w:t>
            </w: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系统内可设置普通用户（运维人员）、一级审批人、二级审批人、操作管理员角色，并对其设置不同数据库管理权限。</w:t>
            </w:r>
          </w:p>
        </w:tc>
        <w:tc>
          <w:tcPr>
            <w:tcW w:w="586" w:type="pct"/>
            <w:tcBorders>
              <w:bottom w:val="single" w:sz="4" w:space="0" w:color="auto"/>
            </w:tcBorders>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908"/>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支持运维人员按实际操作的语句行为提交运维申请，包括访问来源（IP、数据库用户、客户端工具），可对全部对象或指定对象进行SQL操作行为申请。</w:t>
            </w:r>
          </w:p>
        </w:tc>
        <w:tc>
          <w:tcPr>
            <w:tcW w:w="586" w:type="pct"/>
            <w:tcBorders>
              <w:bottom w:val="single" w:sz="4" w:space="0" w:color="auto"/>
            </w:tcBorders>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908"/>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★运维人员提交运维申请并审批通过后，系统会发送给运维人员特定的密令码，运维人员必须凭借密令码登录，方可执行运维动作。</w:t>
            </w:r>
            <w:r w:rsidRPr="00CF641A">
              <w:rPr>
                <w:rFonts w:ascii="宋体" w:hAnsi="宋体" w:cs="宋体" w:hint="eastAsia"/>
                <w:b/>
                <w:kern w:val="0"/>
                <w:szCs w:val="21"/>
              </w:rPr>
              <w:t>（提供相关证明材料）</w:t>
            </w:r>
          </w:p>
        </w:tc>
        <w:tc>
          <w:tcPr>
            <w:tcW w:w="586" w:type="pct"/>
            <w:tcBorders>
              <w:bottom w:val="single" w:sz="4" w:space="0" w:color="auto"/>
            </w:tcBorders>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315"/>
          <w:jc w:val="center"/>
        </w:trPr>
        <w:tc>
          <w:tcPr>
            <w:tcW w:w="654" w:type="pct"/>
            <w:vMerge w:val="restart"/>
            <w:vAlign w:val="center"/>
            <w:hideMark/>
          </w:tcPr>
          <w:p w:rsidR="00064234" w:rsidRPr="0029475D" w:rsidRDefault="00064234" w:rsidP="00610F87">
            <w:pPr>
              <w:widowControl/>
              <w:spacing w:line="276" w:lineRule="auto"/>
              <w:jc w:val="center"/>
              <w:rPr>
                <w:rFonts w:ascii="宋体" w:hAnsi="宋体" w:cs="宋体"/>
                <w:kern w:val="0"/>
                <w:szCs w:val="21"/>
              </w:rPr>
            </w:pPr>
            <w:r w:rsidRPr="0029475D">
              <w:rPr>
                <w:rFonts w:ascii="宋体" w:hAnsi="宋体" w:cs="宋体" w:hint="eastAsia"/>
                <w:kern w:val="0"/>
                <w:szCs w:val="21"/>
              </w:rPr>
              <w:t>防护能力</w:t>
            </w: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支持两种防护模式：会话阻断和拦截语句</w:t>
            </w:r>
            <w:r>
              <w:rPr>
                <w:rFonts w:ascii="宋体" w:hAnsi="宋体" w:cs="宋体" w:hint="eastAsia"/>
                <w:kern w:val="0"/>
                <w:szCs w:val="21"/>
              </w:rPr>
              <w:t>。</w:t>
            </w:r>
          </w:p>
        </w:tc>
        <w:tc>
          <w:tcPr>
            <w:tcW w:w="586" w:type="pct"/>
            <w:tcBorders>
              <w:bottom w:val="single" w:sz="4" w:space="0" w:color="auto"/>
            </w:tcBorders>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605"/>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支持通过数据库名称、数据库实例、Schema、表名、字段名、函数等关联信息解析和设置防护规则，针对SQL语句配置防护规则。</w:t>
            </w:r>
          </w:p>
        </w:tc>
        <w:tc>
          <w:tcPr>
            <w:tcW w:w="586" w:type="pct"/>
            <w:tcBorders>
              <w:bottom w:val="single" w:sz="4" w:space="0" w:color="auto"/>
            </w:tcBorders>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605"/>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CF641A" w:rsidRDefault="00064234" w:rsidP="00610F87">
            <w:pPr>
              <w:widowControl/>
              <w:spacing w:line="276" w:lineRule="auto"/>
              <w:jc w:val="left"/>
              <w:rPr>
                <w:rFonts w:ascii="宋体" w:hAnsi="宋体" w:cs="宋体"/>
                <w:color w:val="000000" w:themeColor="text1"/>
                <w:kern w:val="0"/>
                <w:szCs w:val="21"/>
              </w:rPr>
            </w:pPr>
            <w:r w:rsidRPr="00CF641A">
              <w:rPr>
                <w:rFonts w:ascii="宋体" w:hAnsi="宋体" w:cs="宋体" w:hint="eastAsia"/>
                <w:color w:val="000000" w:themeColor="text1"/>
                <w:kern w:val="0"/>
                <w:szCs w:val="21"/>
              </w:rPr>
              <w:t>支持数据库攻击行为防护：口令攻击防护、SQL注入、XSS跨站攻击等外部行为防护。</w:t>
            </w:r>
          </w:p>
        </w:tc>
        <w:tc>
          <w:tcPr>
            <w:tcW w:w="586" w:type="pct"/>
            <w:tcBorders>
              <w:bottom w:val="single" w:sz="4" w:space="0" w:color="auto"/>
            </w:tcBorders>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1816"/>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★提供针对利用已公开的数据库漏洞攻击行为进行拦截的虚拟补丁功能；</w:t>
            </w:r>
            <w:r w:rsidRPr="0029475D">
              <w:rPr>
                <w:rFonts w:ascii="宋体" w:hAnsi="宋体" w:cs="宋体" w:hint="eastAsia"/>
                <w:kern w:val="0"/>
                <w:szCs w:val="21"/>
              </w:rPr>
              <w:br/>
              <w:t>漏洞分类应涵盖：缓冲区溢出、权限提升、拒绝服务攻击等，至少提供450个以上虚拟补丁</w:t>
            </w:r>
            <w:r>
              <w:rPr>
                <w:rFonts w:ascii="宋体" w:hAnsi="宋体" w:cs="宋体" w:hint="eastAsia"/>
                <w:kern w:val="0"/>
                <w:szCs w:val="21"/>
              </w:rPr>
              <w:t>。</w:t>
            </w:r>
            <w:r w:rsidRPr="0029475D">
              <w:rPr>
                <w:rFonts w:ascii="宋体" w:hAnsi="宋体" w:cs="宋体" w:hint="eastAsia"/>
                <w:kern w:val="0"/>
                <w:szCs w:val="21"/>
              </w:rPr>
              <w:br/>
              <w:t>所投产品的生产厂商具备挖掘国际品牌数据库漏洞挖掘能力和国产品牌数据库漏洞能力，提供原厂挖掘漏洞至少20个CVE</w:t>
            </w:r>
            <w:r>
              <w:rPr>
                <w:rFonts w:ascii="宋体" w:hAnsi="宋体" w:cs="宋体" w:hint="eastAsia"/>
                <w:kern w:val="0"/>
                <w:szCs w:val="21"/>
              </w:rPr>
              <w:t>数据库</w:t>
            </w:r>
            <w:r w:rsidRPr="0029475D">
              <w:rPr>
                <w:rFonts w:ascii="宋体" w:hAnsi="宋体" w:cs="宋体" w:hint="eastAsia"/>
                <w:kern w:val="0"/>
                <w:szCs w:val="21"/>
              </w:rPr>
              <w:t>漏洞编号，10个CNNVD</w:t>
            </w:r>
            <w:r>
              <w:rPr>
                <w:rFonts w:ascii="宋体" w:hAnsi="宋体" w:cs="宋体" w:hint="eastAsia"/>
                <w:kern w:val="0"/>
                <w:szCs w:val="21"/>
              </w:rPr>
              <w:t>数据库</w:t>
            </w:r>
            <w:r w:rsidRPr="0029475D">
              <w:rPr>
                <w:rFonts w:ascii="宋体" w:hAnsi="宋体" w:cs="宋体" w:hint="eastAsia"/>
                <w:kern w:val="0"/>
                <w:szCs w:val="21"/>
              </w:rPr>
              <w:t>漏洞编号</w:t>
            </w:r>
            <w:r>
              <w:rPr>
                <w:rFonts w:ascii="宋体" w:hAnsi="宋体" w:cs="宋体" w:hint="eastAsia"/>
                <w:kern w:val="0"/>
                <w:szCs w:val="21"/>
              </w:rPr>
              <w:t>。</w:t>
            </w:r>
            <w:r w:rsidRPr="00CF641A">
              <w:rPr>
                <w:rFonts w:ascii="宋体" w:hAnsi="宋体" w:cs="宋体" w:hint="eastAsia"/>
                <w:b/>
                <w:kern w:val="0"/>
                <w:szCs w:val="21"/>
              </w:rPr>
              <w:t>（提供相关证明材料）</w:t>
            </w:r>
          </w:p>
        </w:tc>
        <w:tc>
          <w:tcPr>
            <w:tcW w:w="586" w:type="pct"/>
            <w:tcBorders>
              <w:bottom w:val="single" w:sz="4" w:space="0" w:color="auto"/>
            </w:tcBorders>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92"/>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支持结果集内容作为规则判定的条件，结果集包含敏感数据，则直接拦截或阻断。</w:t>
            </w:r>
          </w:p>
        </w:tc>
        <w:tc>
          <w:tcPr>
            <w:tcW w:w="586" w:type="pct"/>
            <w:tcBorders>
              <w:bottom w:val="nil"/>
            </w:tcBorders>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294"/>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★结果集审计支持按全局或单库开启，配置内容包括：结果集最大保存长度、结果集最多保存行数</w:t>
            </w:r>
            <w:r>
              <w:rPr>
                <w:rFonts w:ascii="宋体" w:hAnsi="宋体" w:cs="宋体" w:hint="eastAsia"/>
                <w:kern w:val="0"/>
                <w:szCs w:val="21"/>
              </w:rPr>
              <w:t>。</w:t>
            </w:r>
            <w:r w:rsidRPr="00CF641A">
              <w:rPr>
                <w:rFonts w:ascii="宋体" w:hAnsi="宋体" w:cs="宋体" w:hint="eastAsia"/>
                <w:b/>
                <w:kern w:val="0"/>
                <w:szCs w:val="21"/>
              </w:rPr>
              <w:t>（提供相关证明材料）</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450"/>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29475D" w:rsidRDefault="00064234" w:rsidP="00610F87">
            <w:pPr>
              <w:widowControl/>
              <w:spacing w:line="276" w:lineRule="auto"/>
              <w:jc w:val="left"/>
              <w:rPr>
                <w:rFonts w:ascii="宋体" w:hAnsi="宋体" w:cs="宋体"/>
                <w:color w:val="FF0000"/>
                <w:kern w:val="0"/>
                <w:szCs w:val="21"/>
              </w:rPr>
            </w:pPr>
            <w:r w:rsidRPr="006724FA">
              <w:rPr>
                <w:rFonts w:ascii="宋体" w:hAnsi="宋体" w:cs="宋体" w:hint="eastAsia"/>
                <w:kern w:val="0"/>
                <w:szCs w:val="21"/>
              </w:rPr>
              <w:t>★支持数据库直连防绕过功能，在数据库中部署插件，只有在白名单内的地址可直接访问数据库，其他访问都会受到系统管控</w:t>
            </w:r>
            <w:r>
              <w:rPr>
                <w:rFonts w:ascii="宋体" w:hAnsi="宋体" w:cs="宋体" w:hint="eastAsia"/>
                <w:kern w:val="0"/>
                <w:szCs w:val="21"/>
              </w:rPr>
              <w:t>。</w:t>
            </w:r>
            <w:r w:rsidRPr="00CF641A">
              <w:rPr>
                <w:rFonts w:ascii="宋体" w:hAnsi="宋体" w:cs="宋体" w:hint="eastAsia"/>
                <w:b/>
                <w:kern w:val="0"/>
                <w:szCs w:val="21"/>
              </w:rPr>
              <w:t>（提供相关证明材料）</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149"/>
          <w:jc w:val="center"/>
        </w:trPr>
        <w:tc>
          <w:tcPr>
            <w:tcW w:w="654" w:type="pct"/>
            <w:vMerge w:val="restart"/>
            <w:vAlign w:val="center"/>
            <w:hideMark/>
          </w:tcPr>
          <w:p w:rsidR="00064234" w:rsidRPr="0029475D" w:rsidRDefault="00064234" w:rsidP="00610F87">
            <w:pPr>
              <w:widowControl/>
              <w:spacing w:line="276" w:lineRule="auto"/>
              <w:jc w:val="center"/>
              <w:rPr>
                <w:rFonts w:ascii="宋体" w:hAnsi="宋体" w:cs="宋体"/>
                <w:kern w:val="0"/>
                <w:szCs w:val="21"/>
              </w:rPr>
            </w:pPr>
            <w:r w:rsidRPr="0029475D">
              <w:rPr>
                <w:rFonts w:ascii="宋体" w:hAnsi="宋体" w:cs="宋体" w:hint="eastAsia"/>
                <w:kern w:val="0"/>
                <w:szCs w:val="21"/>
              </w:rPr>
              <w:t>敏感数据识别</w:t>
            </w: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★内置针对符合特征的敏感数据发现规则，规则包括：个人信息规则、组织机构规则等</w:t>
            </w:r>
            <w:r w:rsidRPr="004B45B2">
              <w:rPr>
                <w:rFonts w:ascii="宋体" w:hAnsi="宋体" w:cs="宋体" w:hint="eastAsia"/>
                <w:kern w:val="0"/>
                <w:szCs w:val="21"/>
              </w:rPr>
              <w:t>，具备敏感数据标识处理的相关技术</w:t>
            </w:r>
            <w:r>
              <w:rPr>
                <w:rFonts w:ascii="宋体" w:hAnsi="宋体" w:cs="宋体" w:hint="eastAsia"/>
                <w:kern w:val="0"/>
                <w:szCs w:val="21"/>
              </w:rPr>
              <w:t>。</w:t>
            </w:r>
            <w:r w:rsidRPr="00CF641A">
              <w:rPr>
                <w:rFonts w:ascii="宋体" w:hAnsi="宋体" w:cs="宋体" w:hint="eastAsia"/>
                <w:b/>
                <w:kern w:val="0"/>
                <w:szCs w:val="21"/>
              </w:rPr>
              <w:t>（提供相关证明材料）</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69"/>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支持将资产梳理结果导入到敏感字段梳理中，实现敏感数据联动发现</w:t>
            </w:r>
            <w:r>
              <w:rPr>
                <w:rFonts w:ascii="宋体" w:hAnsi="宋体" w:cs="宋体" w:hint="eastAsia"/>
                <w:kern w:val="0"/>
                <w:szCs w:val="21"/>
              </w:rPr>
              <w:t>。</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58"/>
          <w:jc w:val="center"/>
        </w:trPr>
        <w:tc>
          <w:tcPr>
            <w:tcW w:w="654" w:type="pct"/>
            <w:vMerge w:val="restart"/>
            <w:vAlign w:val="center"/>
            <w:hideMark/>
          </w:tcPr>
          <w:p w:rsidR="00064234" w:rsidRPr="0029475D" w:rsidRDefault="00064234" w:rsidP="00610F87">
            <w:pPr>
              <w:widowControl/>
              <w:spacing w:line="276" w:lineRule="auto"/>
              <w:jc w:val="center"/>
              <w:rPr>
                <w:rFonts w:ascii="宋体" w:hAnsi="宋体" w:cs="宋体"/>
                <w:kern w:val="0"/>
                <w:szCs w:val="21"/>
              </w:rPr>
            </w:pPr>
            <w:r w:rsidRPr="0029475D">
              <w:rPr>
                <w:rFonts w:ascii="宋体" w:hAnsi="宋体" w:cs="宋体" w:hint="eastAsia"/>
                <w:kern w:val="0"/>
                <w:szCs w:val="21"/>
              </w:rPr>
              <w:t>数据脱敏功能</w:t>
            </w: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支持SQL改写和结果集脱敏两种方式进行动态脱敏</w:t>
            </w:r>
            <w:r>
              <w:rPr>
                <w:rFonts w:ascii="宋体" w:hAnsi="宋体" w:cs="宋体" w:hint="eastAsia"/>
                <w:kern w:val="0"/>
                <w:szCs w:val="21"/>
              </w:rPr>
              <w:t>。</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315"/>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支持不同的脱敏方式，包括：随机替换、数据遮蔽、遮蔽算法自定义等</w:t>
            </w:r>
            <w:r>
              <w:rPr>
                <w:rFonts w:ascii="宋体" w:hAnsi="宋体" w:cs="宋体" w:hint="eastAsia"/>
                <w:kern w:val="0"/>
                <w:szCs w:val="21"/>
              </w:rPr>
              <w:t>。</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209"/>
          <w:jc w:val="center"/>
        </w:trPr>
        <w:tc>
          <w:tcPr>
            <w:tcW w:w="654" w:type="pct"/>
            <w:vMerge w:val="restart"/>
            <w:noWrap/>
            <w:vAlign w:val="center"/>
            <w:hideMark/>
          </w:tcPr>
          <w:p w:rsidR="00064234" w:rsidRPr="0029475D" w:rsidRDefault="00064234" w:rsidP="00610F87">
            <w:pPr>
              <w:widowControl/>
              <w:spacing w:line="276" w:lineRule="auto"/>
              <w:jc w:val="center"/>
              <w:rPr>
                <w:rFonts w:ascii="宋体" w:hAnsi="宋体" w:cs="宋体"/>
                <w:kern w:val="0"/>
                <w:szCs w:val="21"/>
              </w:rPr>
            </w:pPr>
            <w:r w:rsidRPr="0029475D">
              <w:rPr>
                <w:rFonts w:ascii="宋体" w:hAnsi="宋体" w:cs="宋体" w:hint="eastAsia"/>
                <w:kern w:val="0"/>
                <w:szCs w:val="21"/>
              </w:rPr>
              <w:t>行为审计</w:t>
            </w: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支持查看语句、会话、脱敏等行为审计，可基于客户端IP、被保护数据库、数据库用户等维度进行分析。</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315"/>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支持语句、会话等多维度的详情检索能力。</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605"/>
          <w:jc w:val="center"/>
        </w:trPr>
        <w:tc>
          <w:tcPr>
            <w:tcW w:w="654" w:type="pct"/>
            <w:vMerge w:val="restart"/>
            <w:vAlign w:val="center"/>
            <w:hideMark/>
          </w:tcPr>
          <w:p w:rsidR="00064234" w:rsidRPr="0029475D" w:rsidRDefault="00064234" w:rsidP="00610F87">
            <w:pPr>
              <w:widowControl/>
              <w:spacing w:line="276" w:lineRule="auto"/>
              <w:jc w:val="center"/>
              <w:rPr>
                <w:rFonts w:ascii="宋体" w:hAnsi="宋体" w:cs="宋体"/>
                <w:kern w:val="0"/>
                <w:szCs w:val="21"/>
              </w:rPr>
            </w:pPr>
            <w:r w:rsidRPr="0029475D">
              <w:rPr>
                <w:rFonts w:ascii="宋体" w:hAnsi="宋体" w:cs="宋体" w:hint="eastAsia"/>
                <w:kern w:val="0"/>
                <w:szCs w:val="21"/>
              </w:rPr>
              <w:t>告警与外送</w:t>
            </w:r>
          </w:p>
        </w:tc>
        <w:tc>
          <w:tcPr>
            <w:tcW w:w="3263" w:type="pct"/>
            <w:shd w:val="clear" w:color="000000" w:fill="FFFFFF"/>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告警方式包括：邮件、短信平台、SYSLOG、SNMP、企业微信、钉钉群助手、防护系统前台界面</w:t>
            </w:r>
            <w:r>
              <w:rPr>
                <w:rFonts w:ascii="宋体" w:hAnsi="宋体" w:cs="宋体" w:hint="eastAsia"/>
                <w:kern w:val="0"/>
                <w:szCs w:val="21"/>
              </w:rPr>
              <w:t>。</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418"/>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shd w:val="clear" w:color="000000" w:fill="FFFFFF"/>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支持SYSLOG方式进行数据外送，可外送审计数据、会话信息、新型语句模板、系统审计日志</w:t>
            </w:r>
            <w:r>
              <w:rPr>
                <w:rFonts w:ascii="宋体" w:hAnsi="宋体" w:cs="宋体" w:hint="eastAsia"/>
                <w:kern w:val="0"/>
                <w:szCs w:val="21"/>
              </w:rPr>
              <w:t>。</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259"/>
          <w:jc w:val="center"/>
        </w:trPr>
        <w:tc>
          <w:tcPr>
            <w:tcW w:w="654" w:type="pct"/>
            <w:vMerge w:val="restart"/>
            <w:vAlign w:val="center"/>
            <w:hideMark/>
          </w:tcPr>
          <w:p w:rsidR="00064234" w:rsidRPr="0029475D" w:rsidRDefault="00064234" w:rsidP="00610F87">
            <w:pPr>
              <w:widowControl/>
              <w:spacing w:line="276" w:lineRule="auto"/>
              <w:jc w:val="center"/>
              <w:rPr>
                <w:rFonts w:ascii="宋体" w:hAnsi="宋体" w:cs="宋体"/>
                <w:kern w:val="0"/>
                <w:szCs w:val="21"/>
              </w:rPr>
            </w:pPr>
            <w:r w:rsidRPr="0029475D">
              <w:rPr>
                <w:rFonts w:ascii="宋体" w:hAnsi="宋体" w:cs="宋体" w:hint="eastAsia"/>
                <w:kern w:val="0"/>
                <w:szCs w:val="21"/>
              </w:rPr>
              <w:t>报表</w:t>
            </w: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支持各类报表展现，针对风险、性能、访问源、账户等信息做专项报表展现。</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179"/>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支持按日、周、月等时间周期生成综合报表，可按指定的时间推送至指定管理员的邮箱。</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315"/>
          <w:jc w:val="center"/>
        </w:trPr>
        <w:tc>
          <w:tcPr>
            <w:tcW w:w="654" w:type="pct"/>
            <w:vMerge/>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报表支持以Word、PDF、HTML、CSV等格保存到本地。</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699"/>
          <w:jc w:val="center"/>
        </w:trPr>
        <w:tc>
          <w:tcPr>
            <w:tcW w:w="654" w:type="pct"/>
            <w:vMerge w:val="restart"/>
            <w:vAlign w:val="center"/>
            <w:hideMark/>
          </w:tcPr>
          <w:p w:rsidR="00064234" w:rsidRPr="0029475D" w:rsidRDefault="00064234" w:rsidP="00610F87">
            <w:pPr>
              <w:widowControl/>
              <w:spacing w:line="276" w:lineRule="auto"/>
              <w:jc w:val="center"/>
              <w:rPr>
                <w:rFonts w:ascii="宋体" w:hAnsi="宋体" w:cs="宋体"/>
                <w:kern w:val="0"/>
                <w:szCs w:val="21"/>
              </w:rPr>
            </w:pPr>
            <w:r w:rsidRPr="0029475D">
              <w:rPr>
                <w:rFonts w:ascii="宋体" w:hAnsi="宋体" w:cs="宋体" w:hint="eastAsia"/>
                <w:kern w:val="0"/>
                <w:szCs w:val="21"/>
              </w:rPr>
              <w:t>数据管理</w:t>
            </w:r>
          </w:p>
        </w:tc>
        <w:tc>
          <w:tcPr>
            <w:tcW w:w="3263" w:type="pct"/>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★支持审计日志数据的备份，根据磁盘使用情况可选择高压缩比或高性能备份：</w:t>
            </w:r>
            <w:r w:rsidRPr="0029475D">
              <w:rPr>
                <w:rFonts w:ascii="宋体" w:hAnsi="宋体" w:cs="宋体" w:hint="eastAsia"/>
                <w:kern w:val="0"/>
                <w:szCs w:val="21"/>
              </w:rPr>
              <w:br/>
              <w:t>高压缩比：高压缩比备份策略具有较高的压缩比，备份速度相对较慢</w:t>
            </w:r>
            <w:r w:rsidRPr="0029475D">
              <w:rPr>
                <w:rFonts w:ascii="宋体" w:hAnsi="宋体" w:cs="宋体" w:hint="eastAsia"/>
                <w:kern w:val="0"/>
                <w:szCs w:val="21"/>
              </w:rPr>
              <w:br/>
              <w:t>高性能：具有较快的备份速度，压缩比较小</w:t>
            </w:r>
            <w:r w:rsidRPr="00CF641A">
              <w:rPr>
                <w:rFonts w:ascii="宋体" w:hAnsi="宋体" w:cs="宋体" w:hint="eastAsia"/>
                <w:b/>
                <w:kern w:val="0"/>
                <w:szCs w:val="21"/>
              </w:rPr>
              <w:t>（提供相关证明材料）</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303"/>
          <w:jc w:val="center"/>
        </w:trPr>
        <w:tc>
          <w:tcPr>
            <w:tcW w:w="654" w:type="pct"/>
            <w:vMerge/>
            <w:tcBorders>
              <w:bottom w:val="single" w:sz="4" w:space="0" w:color="auto"/>
            </w:tcBorders>
            <w:vAlign w:val="center"/>
            <w:hideMark/>
          </w:tcPr>
          <w:p w:rsidR="00064234" w:rsidRPr="0029475D" w:rsidRDefault="00064234" w:rsidP="00610F87">
            <w:pPr>
              <w:widowControl/>
              <w:spacing w:line="276" w:lineRule="auto"/>
              <w:jc w:val="center"/>
              <w:rPr>
                <w:rFonts w:ascii="宋体" w:hAnsi="宋体" w:cs="宋体"/>
                <w:kern w:val="0"/>
                <w:szCs w:val="21"/>
              </w:rPr>
            </w:pPr>
          </w:p>
        </w:tc>
        <w:tc>
          <w:tcPr>
            <w:tcW w:w="3263" w:type="pct"/>
            <w:tcBorders>
              <w:bottom w:val="single" w:sz="4" w:space="0" w:color="auto"/>
            </w:tcBorders>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支持对存储空间的监控，当空间不足时可进行告警</w:t>
            </w:r>
            <w:r>
              <w:rPr>
                <w:rFonts w:ascii="宋体" w:hAnsi="宋体" w:cs="宋体" w:hint="eastAsia"/>
                <w:kern w:val="0"/>
                <w:szCs w:val="21"/>
              </w:rPr>
              <w:t>。</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315"/>
          <w:jc w:val="center"/>
        </w:trPr>
        <w:tc>
          <w:tcPr>
            <w:tcW w:w="654" w:type="pct"/>
            <w:vMerge w:val="restart"/>
            <w:shd w:val="clear" w:color="000000" w:fill="auto"/>
            <w:vAlign w:val="center"/>
            <w:hideMark/>
          </w:tcPr>
          <w:p w:rsidR="00064234" w:rsidRPr="0029475D" w:rsidRDefault="00064234" w:rsidP="00610F87">
            <w:pPr>
              <w:widowControl/>
              <w:spacing w:line="276" w:lineRule="auto"/>
              <w:jc w:val="center"/>
              <w:rPr>
                <w:rFonts w:ascii="宋体" w:hAnsi="宋体" w:cs="宋体"/>
                <w:kern w:val="0"/>
                <w:szCs w:val="21"/>
              </w:rPr>
            </w:pPr>
            <w:r w:rsidRPr="0029475D">
              <w:rPr>
                <w:rFonts w:ascii="宋体" w:hAnsi="宋体" w:cs="宋体" w:hint="eastAsia"/>
                <w:kern w:val="0"/>
                <w:szCs w:val="21"/>
              </w:rPr>
              <w:t>产品资质</w:t>
            </w:r>
          </w:p>
        </w:tc>
        <w:tc>
          <w:tcPr>
            <w:tcW w:w="3263" w:type="pct"/>
            <w:shd w:val="clear" w:color="000000" w:fill="auto"/>
            <w:vAlign w:val="center"/>
            <w:hideMark/>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★提供国家版权中心颁发的软件著作权</w:t>
            </w:r>
            <w:r>
              <w:rPr>
                <w:rFonts w:ascii="宋体" w:hAnsi="宋体" w:cs="宋体" w:hint="eastAsia"/>
                <w:kern w:val="0"/>
                <w:szCs w:val="21"/>
              </w:rPr>
              <w:t>登记证书。</w:t>
            </w:r>
            <w:r w:rsidRPr="00CF641A">
              <w:rPr>
                <w:rFonts w:ascii="宋体" w:hAnsi="宋体" w:cs="宋体" w:hint="eastAsia"/>
                <w:b/>
                <w:kern w:val="0"/>
                <w:szCs w:val="21"/>
              </w:rPr>
              <w:t>（提供相关证明材料）</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315"/>
          <w:jc w:val="center"/>
        </w:trPr>
        <w:tc>
          <w:tcPr>
            <w:tcW w:w="654" w:type="pct"/>
            <w:vMerge/>
            <w:shd w:val="clear" w:color="000000" w:fill="auto"/>
            <w:vAlign w:val="center"/>
          </w:tcPr>
          <w:p w:rsidR="00064234" w:rsidRPr="0029475D" w:rsidRDefault="00064234" w:rsidP="00610F87">
            <w:pPr>
              <w:widowControl/>
              <w:spacing w:line="276" w:lineRule="auto"/>
              <w:jc w:val="center"/>
              <w:rPr>
                <w:rFonts w:ascii="宋体" w:hAnsi="宋体" w:cs="宋体"/>
                <w:kern w:val="0"/>
                <w:szCs w:val="21"/>
              </w:rPr>
            </w:pPr>
          </w:p>
        </w:tc>
        <w:tc>
          <w:tcPr>
            <w:tcW w:w="3263" w:type="pct"/>
            <w:shd w:val="clear" w:color="000000" w:fill="auto"/>
            <w:vAlign w:val="center"/>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w:t>
            </w:r>
            <w:r w:rsidRPr="00606A8D">
              <w:rPr>
                <w:rFonts w:ascii="宋体" w:hAnsi="宋体" w:cs="宋体" w:hint="eastAsia"/>
                <w:kern w:val="0"/>
                <w:szCs w:val="21"/>
              </w:rPr>
              <w:t>产品具备中国信息安全测评中心颁发的《国家信息安全漏洞库兼容性资质证书》。</w:t>
            </w:r>
            <w:r w:rsidRPr="00CF641A">
              <w:rPr>
                <w:rFonts w:ascii="宋体" w:hAnsi="宋体" w:cs="宋体" w:hint="eastAsia"/>
                <w:b/>
                <w:kern w:val="0"/>
                <w:szCs w:val="21"/>
              </w:rPr>
              <w:t>（提供相关证明材料）</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315"/>
          <w:jc w:val="center"/>
        </w:trPr>
        <w:tc>
          <w:tcPr>
            <w:tcW w:w="654" w:type="pct"/>
            <w:shd w:val="clear" w:color="000000" w:fill="auto"/>
          </w:tcPr>
          <w:p w:rsidR="00064234" w:rsidRDefault="00064234" w:rsidP="00610F87">
            <w:pPr>
              <w:widowControl/>
              <w:spacing w:line="276" w:lineRule="auto"/>
              <w:jc w:val="center"/>
              <w:rPr>
                <w:rFonts w:ascii="宋体" w:hAnsi="宋体" w:cs="宋体"/>
                <w:kern w:val="0"/>
                <w:szCs w:val="21"/>
              </w:rPr>
            </w:pPr>
            <w:r w:rsidRPr="007C37F4">
              <w:rPr>
                <w:rFonts w:ascii="宋体" w:hAnsi="宋体" w:cs="宋体" w:hint="eastAsia"/>
                <w:kern w:val="0"/>
                <w:szCs w:val="21"/>
              </w:rPr>
              <w:t>第三方评价</w:t>
            </w:r>
          </w:p>
        </w:tc>
        <w:tc>
          <w:tcPr>
            <w:tcW w:w="3263" w:type="pct"/>
            <w:shd w:val="clear" w:color="000000" w:fill="auto"/>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w:t>
            </w:r>
            <w:r w:rsidRPr="007C37F4">
              <w:rPr>
                <w:rFonts w:ascii="宋体" w:hAnsi="宋体" w:cs="宋体" w:hint="eastAsia"/>
                <w:kern w:val="0"/>
                <w:szCs w:val="21"/>
              </w:rPr>
              <w:t>所投产品的生产厂商在Gartner技术成熟度曲线报告的DAP（数据库审与保护）领域中属于被推荐厂商。</w:t>
            </w:r>
            <w:r w:rsidRPr="00CF641A">
              <w:rPr>
                <w:rFonts w:ascii="宋体" w:hAnsi="宋体" w:cs="宋体" w:hint="eastAsia"/>
                <w:b/>
                <w:kern w:val="0"/>
                <w:szCs w:val="21"/>
              </w:rPr>
              <w:t>（提供相关证明材料）</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r w:rsidR="00064234" w:rsidRPr="0029475D" w:rsidTr="00610F87">
        <w:trPr>
          <w:trHeight w:val="315"/>
          <w:jc w:val="center"/>
        </w:trPr>
        <w:tc>
          <w:tcPr>
            <w:tcW w:w="654" w:type="pct"/>
            <w:shd w:val="clear" w:color="000000" w:fill="auto"/>
            <w:vAlign w:val="center"/>
          </w:tcPr>
          <w:p w:rsidR="00064234" w:rsidRPr="0029475D" w:rsidRDefault="00064234" w:rsidP="00610F87">
            <w:pPr>
              <w:widowControl/>
              <w:spacing w:line="276" w:lineRule="auto"/>
              <w:jc w:val="center"/>
              <w:rPr>
                <w:rFonts w:ascii="宋体" w:hAnsi="宋体" w:cs="宋体"/>
                <w:kern w:val="0"/>
                <w:szCs w:val="21"/>
              </w:rPr>
            </w:pPr>
            <w:r>
              <w:rPr>
                <w:rFonts w:ascii="宋体" w:hAnsi="宋体" w:cs="宋体" w:hint="eastAsia"/>
                <w:kern w:val="0"/>
                <w:szCs w:val="21"/>
              </w:rPr>
              <w:t>其他</w:t>
            </w:r>
          </w:p>
        </w:tc>
        <w:tc>
          <w:tcPr>
            <w:tcW w:w="3263" w:type="pct"/>
            <w:shd w:val="clear" w:color="000000" w:fill="auto"/>
            <w:vAlign w:val="center"/>
          </w:tcPr>
          <w:p w:rsidR="00064234" w:rsidRPr="0029475D" w:rsidRDefault="00064234" w:rsidP="00610F87">
            <w:pPr>
              <w:widowControl/>
              <w:spacing w:line="276" w:lineRule="auto"/>
              <w:jc w:val="left"/>
              <w:rPr>
                <w:rFonts w:ascii="宋体" w:hAnsi="宋体" w:cs="宋体"/>
                <w:kern w:val="0"/>
                <w:szCs w:val="21"/>
              </w:rPr>
            </w:pPr>
            <w:r w:rsidRPr="0029475D">
              <w:rPr>
                <w:rFonts w:ascii="宋体" w:hAnsi="宋体" w:cs="宋体" w:hint="eastAsia"/>
                <w:kern w:val="0"/>
                <w:szCs w:val="21"/>
              </w:rPr>
              <w:t>★</w:t>
            </w:r>
            <w:r w:rsidRPr="00CF641A">
              <w:rPr>
                <w:rFonts w:ascii="宋体" w:hAnsi="宋体" w:cs="宋体" w:hint="eastAsia"/>
                <w:b/>
                <w:kern w:val="0"/>
                <w:szCs w:val="21"/>
              </w:rPr>
              <w:t>中标后五个工作日内需按我方要求部署环境，对上述功能进行逐一测试，并提交上述证明文件原件，测试通过后才能执行合同流程，测试中若发现有虚假应标或放弃测试的行为，我方会进行废标处理，并保留追究法律责任的权力。</w:t>
            </w:r>
          </w:p>
        </w:tc>
        <w:tc>
          <w:tcPr>
            <w:tcW w:w="586" w:type="pct"/>
            <w:shd w:val="clear" w:color="auto" w:fill="auto"/>
          </w:tcPr>
          <w:p w:rsidR="00064234" w:rsidRPr="0029475D" w:rsidRDefault="00064234" w:rsidP="00610F87">
            <w:pPr>
              <w:widowControl/>
              <w:jc w:val="left"/>
            </w:pPr>
          </w:p>
        </w:tc>
        <w:tc>
          <w:tcPr>
            <w:tcW w:w="497" w:type="pct"/>
            <w:shd w:val="clear" w:color="auto" w:fill="auto"/>
          </w:tcPr>
          <w:p w:rsidR="00064234" w:rsidRPr="0029475D" w:rsidRDefault="00064234" w:rsidP="00610F87">
            <w:pPr>
              <w:widowControl/>
              <w:jc w:val="left"/>
            </w:pPr>
          </w:p>
        </w:tc>
      </w:tr>
    </w:tbl>
    <w:p w:rsidR="00E15E4B" w:rsidRPr="00064234" w:rsidRDefault="00E15E4B"/>
    <w:sectPr w:rsidR="00E15E4B" w:rsidRPr="00064234" w:rsidSect="00E15E4B">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E4A" w:rsidRDefault="00EC0E4A" w:rsidP="00E15E4B">
      <w:r>
        <w:separator/>
      </w:r>
    </w:p>
  </w:endnote>
  <w:endnote w:type="continuationSeparator" w:id="0">
    <w:p w:rsidR="00EC0E4A" w:rsidRDefault="00EC0E4A" w:rsidP="00E1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E4A" w:rsidRDefault="00EC0E4A" w:rsidP="00E15E4B">
      <w:r>
        <w:separator/>
      </w:r>
    </w:p>
  </w:footnote>
  <w:footnote w:type="continuationSeparator" w:id="0">
    <w:p w:rsidR="00EC0E4A" w:rsidRDefault="00EC0E4A" w:rsidP="00E15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D92"/>
    <w:rsid w:val="000111AA"/>
    <w:rsid w:val="000113FA"/>
    <w:rsid w:val="00027E69"/>
    <w:rsid w:val="000365E5"/>
    <w:rsid w:val="0004409F"/>
    <w:rsid w:val="00064234"/>
    <w:rsid w:val="0007335B"/>
    <w:rsid w:val="00096703"/>
    <w:rsid w:val="00097F33"/>
    <w:rsid w:val="000A0FB8"/>
    <w:rsid w:val="000A5320"/>
    <w:rsid w:val="000B2FAA"/>
    <w:rsid w:val="000B4508"/>
    <w:rsid w:val="000C4F88"/>
    <w:rsid w:val="000F3730"/>
    <w:rsid w:val="000F7226"/>
    <w:rsid w:val="00105B5D"/>
    <w:rsid w:val="00117E46"/>
    <w:rsid w:val="00176B1D"/>
    <w:rsid w:val="00190792"/>
    <w:rsid w:val="00194692"/>
    <w:rsid w:val="001A2D5C"/>
    <w:rsid w:val="001A750D"/>
    <w:rsid w:val="001C0F42"/>
    <w:rsid w:val="001D2EC9"/>
    <w:rsid w:val="001D78FC"/>
    <w:rsid w:val="00201179"/>
    <w:rsid w:val="00210CBB"/>
    <w:rsid w:val="0021546F"/>
    <w:rsid w:val="002154E9"/>
    <w:rsid w:val="0022135C"/>
    <w:rsid w:val="00223AD8"/>
    <w:rsid w:val="002407F8"/>
    <w:rsid w:val="00241B64"/>
    <w:rsid w:val="0024219D"/>
    <w:rsid w:val="0025221B"/>
    <w:rsid w:val="00261DB7"/>
    <w:rsid w:val="00262F45"/>
    <w:rsid w:val="00277C7C"/>
    <w:rsid w:val="00282AD4"/>
    <w:rsid w:val="002936B3"/>
    <w:rsid w:val="002A2222"/>
    <w:rsid w:val="002E39CB"/>
    <w:rsid w:val="002E4937"/>
    <w:rsid w:val="002F2F6A"/>
    <w:rsid w:val="00311CB9"/>
    <w:rsid w:val="00316685"/>
    <w:rsid w:val="00334FAE"/>
    <w:rsid w:val="00337648"/>
    <w:rsid w:val="00341DC1"/>
    <w:rsid w:val="00345761"/>
    <w:rsid w:val="00346683"/>
    <w:rsid w:val="003554EA"/>
    <w:rsid w:val="00355632"/>
    <w:rsid w:val="0036214E"/>
    <w:rsid w:val="00362243"/>
    <w:rsid w:val="00372270"/>
    <w:rsid w:val="00372CC7"/>
    <w:rsid w:val="00377CC3"/>
    <w:rsid w:val="00381B58"/>
    <w:rsid w:val="00382AE0"/>
    <w:rsid w:val="00393D9A"/>
    <w:rsid w:val="00394917"/>
    <w:rsid w:val="003B28BB"/>
    <w:rsid w:val="003C05C7"/>
    <w:rsid w:val="003D7364"/>
    <w:rsid w:val="003E3B13"/>
    <w:rsid w:val="003E5F8E"/>
    <w:rsid w:val="003E74D1"/>
    <w:rsid w:val="00420584"/>
    <w:rsid w:val="00423C01"/>
    <w:rsid w:val="00430FE8"/>
    <w:rsid w:val="00453D92"/>
    <w:rsid w:val="00455D5F"/>
    <w:rsid w:val="00466358"/>
    <w:rsid w:val="00480FD3"/>
    <w:rsid w:val="00493292"/>
    <w:rsid w:val="00496812"/>
    <w:rsid w:val="0049790C"/>
    <w:rsid w:val="004A0E9F"/>
    <w:rsid w:val="004A7076"/>
    <w:rsid w:val="004B7E31"/>
    <w:rsid w:val="004C3E86"/>
    <w:rsid w:val="004C7A60"/>
    <w:rsid w:val="004D6627"/>
    <w:rsid w:val="004D6FA9"/>
    <w:rsid w:val="004E4DBB"/>
    <w:rsid w:val="004E7D8F"/>
    <w:rsid w:val="004F5D6E"/>
    <w:rsid w:val="0050005B"/>
    <w:rsid w:val="00511B95"/>
    <w:rsid w:val="00511CD6"/>
    <w:rsid w:val="005236F2"/>
    <w:rsid w:val="005277FF"/>
    <w:rsid w:val="00531D64"/>
    <w:rsid w:val="00537F47"/>
    <w:rsid w:val="005721F0"/>
    <w:rsid w:val="005832F4"/>
    <w:rsid w:val="005876A5"/>
    <w:rsid w:val="00596F87"/>
    <w:rsid w:val="005A1A00"/>
    <w:rsid w:val="005A47B7"/>
    <w:rsid w:val="005B4F99"/>
    <w:rsid w:val="005B6523"/>
    <w:rsid w:val="005F1214"/>
    <w:rsid w:val="005F5010"/>
    <w:rsid w:val="00622AEA"/>
    <w:rsid w:val="00634617"/>
    <w:rsid w:val="006361CB"/>
    <w:rsid w:val="00644534"/>
    <w:rsid w:val="0064468D"/>
    <w:rsid w:val="00671D50"/>
    <w:rsid w:val="00696A18"/>
    <w:rsid w:val="006A7F72"/>
    <w:rsid w:val="006C76EE"/>
    <w:rsid w:val="006D14BE"/>
    <w:rsid w:val="006D28DB"/>
    <w:rsid w:val="006D3B17"/>
    <w:rsid w:val="00703998"/>
    <w:rsid w:val="00703AF7"/>
    <w:rsid w:val="00723A9E"/>
    <w:rsid w:val="00726A09"/>
    <w:rsid w:val="0073541A"/>
    <w:rsid w:val="00736B28"/>
    <w:rsid w:val="0073793D"/>
    <w:rsid w:val="0074781F"/>
    <w:rsid w:val="00747A17"/>
    <w:rsid w:val="00790E1C"/>
    <w:rsid w:val="00791394"/>
    <w:rsid w:val="007B4DF5"/>
    <w:rsid w:val="007C7BA8"/>
    <w:rsid w:val="007D323B"/>
    <w:rsid w:val="007D47AD"/>
    <w:rsid w:val="007D77A7"/>
    <w:rsid w:val="007E5828"/>
    <w:rsid w:val="007E7F66"/>
    <w:rsid w:val="00813440"/>
    <w:rsid w:val="0082214F"/>
    <w:rsid w:val="00851C6D"/>
    <w:rsid w:val="008664CF"/>
    <w:rsid w:val="00872D7F"/>
    <w:rsid w:val="00877679"/>
    <w:rsid w:val="008C7754"/>
    <w:rsid w:val="008E5A2A"/>
    <w:rsid w:val="008F46AE"/>
    <w:rsid w:val="008F5B30"/>
    <w:rsid w:val="008F6CF7"/>
    <w:rsid w:val="00901E65"/>
    <w:rsid w:val="0090206B"/>
    <w:rsid w:val="009026F4"/>
    <w:rsid w:val="00902C37"/>
    <w:rsid w:val="00913ED2"/>
    <w:rsid w:val="00916A6C"/>
    <w:rsid w:val="0092687A"/>
    <w:rsid w:val="00950B56"/>
    <w:rsid w:val="00966A52"/>
    <w:rsid w:val="009A4944"/>
    <w:rsid w:val="009C0B54"/>
    <w:rsid w:val="009D265D"/>
    <w:rsid w:val="009D444E"/>
    <w:rsid w:val="00A012A9"/>
    <w:rsid w:val="00A03752"/>
    <w:rsid w:val="00A200F6"/>
    <w:rsid w:val="00A31284"/>
    <w:rsid w:val="00A37B54"/>
    <w:rsid w:val="00A4679B"/>
    <w:rsid w:val="00A55AF0"/>
    <w:rsid w:val="00A75FE5"/>
    <w:rsid w:val="00A83377"/>
    <w:rsid w:val="00A85769"/>
    <w:rsid w:val="00A86D64"/>
    <w:rsid w:val="00A8706E"/>
    <w:rsid w:val="00A931E7"/>
    <w:rsid w:val="00AB2656"/>
    <w:rsid w:val="00AC0D35"/>
    <w:rsid w:val="00AE1A61"/>
    <w:rsid w:val="00AF2CA4"/>
    <w:rsid w:val="00AF4809"/>
    <w:rsid w:val="00AF7ADB"/>
    <w:rsid w:val="00B0048F"/>
    <w:rsid w:val="00B43902"/>
    <w:rsid w:val="00B702AA"/>
    <w:rsid w:val="00BC4B4B"/>
    <w:rsid w:val="00BD6041"/>
    <w:rsid w:val="00BF2907"/>
    <w:rsid w:val="00BF3B52"/>
    <w:rsid w:val="00C02465"/>
    <w:rsid w:val="00C066F6"/>
    <w:rsid w:val="00C1028A"/>
    <w:rsid w:val="00C13E06"/>
    <w:rsid w:val="00C16716"/>
    <w:rsid w:val="00C21EBA"/>
    <w:rsid w:val="00C3275C"/>
    <w:rsid w:val="00C32942"/>
    <w:rsid w:val="00C33B50"/>
    <w:rsid w:val="00C44915"/>
    <w:rsid w:val="00C647E3"/>
    <w:rsid w:val="00C81E2F"/>
    <w:rsid w:val="00C84E30"/>
    <w:rsid w:val="00CB6A5B"/>
    <w:rsid w:val="00CE5D0D"/>
    <w:rsid w:val="00CF4971"/>
    <w:rsid w:val="00CF642F"/>
    <w:rsid w:val="00D06E27"/>
    <w:rsid w:val="00D12538"/>
    <w:rsid w:val="00D271F9"/>
    <w:rsid w:val="00D377F3"/>
    <w:rsid w:val="00D43098"/>
    <w:rsid w:val="00D730E0"/>
    <w:rsid w:val="00D91CF6"/>
    <w:rsid w:val="00D95790"/>
    <w:rsid w:val="00DA1D1E"/>
    <w:rsid w:val="00DA7D11"/>
    <w:rsid w:val="00DC133F"/>
    <w:rsid w:val="00DC1DAA"/>
    <w:rsid w:val="00DC53D7"/>
    <w:rsid w:val="00DC667D"/>
    <w:rsid w:val="00DE04F0"/>
    <w:rsid w:val="00E00339"/>
    <w:rsid w:val="00E00720"/>
    <w:rsid w:val="00E11123"/>
    <w:rsid w:val="00E15A38"/>
    <w:rsid w:val="00E15E4B"/>
    <w:rsid w:val="00E22AA5"/>
    <w:rsid w:val="00E26CA6"/>
    <w:rsid w:val="00E56FA0"/>
    <w:rsid w:val="00E57C74"/>
    <w:rsid w:val="00E641E2"/>
    <w:rsid w:val="00E64BC1"/>
    <w:rsid w:val="00E73317"/>
    <w:rsid w:val="00E8553F"/>
    <w:rsid w:val="00EB1A5C"/>
    <w:rsid w:val="00EC0E4A"/>
    <w:rsid w:val="00ED1608"/>
    <w:rsid w:val="00ED4884"/>
    <w:rsid w:val="00EE6B69"/>
    <w:rsid w:val="00EE7689"/>
    <w:rsid w:val="00F06FF9"/>
    <w:rsid w:val="00F07EEC"/>
    <w:rsid w:val="00F1030F"/>
    <w:rsid w:val="00F10788"/>
    <w:rsid w:val="00F13E27"/>
    <w:rsid w:val="00F17F30"/>
    <w:rsid w:val="00F41D2F"/>
    <w:rsid w:val="00F42B6A"/>
    <w:rsid w:val="00F46441"/>
    <w:rsid w:val="00F50CDD"/>
    <w:rsid w:val="00F6740E"/>
    <w:rsid w:val="00F734EF"/>
    <w:rsid w:val="00F75141"/>
    <w:rsid w:val="00FB34E0"/>
    <w:rsid w:val="00FC2074"/>
    <w:rsid w:val="00FC3DF5"/>
    <w:rsid w:val="00FC63E7"/>
    <w:rsid w:val="00FF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F3820F-87E9-4336-B043-80FE61C6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5E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5E4B"/>
    <w:rPr>
      <w:sz w:val="18"/>
      <w:szCs w:val="18"/>
    </w:rPr>
  </w:style>
  <w:style w:type="paragraph" w:styleId="a4">
    <w:name w:val="footer"/>
    <w:basedOn w:val="a"/>
    <w:link w:val="Char0"/>
    <w:uiPriority w:val="99"/>
    <w:unhideWhenUsed/>
    <w:rsid w:val="00E15E4B"/>
    <w:pPr>
      <w:tabs>
        <w:tab w:val="center" w:pos="4153"/>
        <w:tab w:val="right" w:pos="8306"/>
      </w:tabs>
      <w:snapToGrid w:val="0"/>
      <w:jc w:val="left"/>
    </w:pPr>
    <w:rPr>
      <w:sz w:val="18"/>
      <w:szCs w:val="18"/>
    </w:rPr>
  </w:style>
  <w:style w:type="character" w:customStyle="1" w:styleId="Char0">
    <w:name w:val="页脚 Char"/>
    <w:basedOn w:val="a0"/>
    <w:link w:val="a4"/>
    <w:uiPriority w:val="99"/>
    <w:rsid w:val="00E15E4B"/>
    <w:rPr>
      <w:sz w:val="18"/>
      <w:szCs w:val="18"/>
    </w:rPr>
  </w:style>
  <w:style w:type="character" w:styleId="a5">
    <w:name w:val="Hyperlink"/>
    <w:basedOn w:val="a0"/>
    <w:uiPriority w:val="99"/>
    <w:semiHidden/>
    <w:unhideWhenUsed/>
    <w:rsid w:val="00E15E4B"/>
    <w:rPr>
      <w:color w:val="0000FF"/>
      <w:u w:val="single"/>
    </w:rPr>
  </w:style>
  <w:style w:type="table" w:styleId="1">
    <w:name w:val="Grid Table 1 Light"/>
    <w:basedOn w:val="a1"/>
    <w:uiPriority w:val="46"/>
    <w:rsid w:val="00420584"/>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04031">
      <w:bodyDiv w:val="1"/>
      <w:marLeft w:val="0"/>
      <w:marRight w:val="0"/>
      <w:marTop w:val="0"/>
      <w:marBottom w:val="0"/>
      <w:divBdr>
        <w:top w:val="none" w:sz="0" w:space="0" w:color="auto"/>
        <w:left w:val="none" w:sz="0" w:space="0" w:color="auto"/>
        <w:bottom w:val="none" w:sz="0" w:space="0" w:color="auto"/>
        <w:right w:val="none" w:sz="0" w:space="0" w:color="auto"/>
      </w:divBdr>
    </w:div>
    <w:div w:id="1023677143">
      <w:bodyDiv w:val="1"/>
      <w:marLeft w:val="0"/>
      <w:marRight w:val="0"/>
      <w:marTop w:val="0"/>
      <w:marBottom w:val="0"/>
      <w:divBdr>
        <w:top w:val="none" w:sz="0" w:space="0" w:color="auto"/>
        <w:left w:val="none" w:sz="0" w:space="0" w:color="auto"/>
        <w:bottom w:val="none" w:sz="0" w:space="0" w:color="auto"/>
        <w:right w:val="none" w:sz="0" w:space="0" w:color="auto"/>
      </w:divBdr>
    </w:div>
    <w:div w:id="2080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58572-46A3-4AAA-918B-2BBD4E46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黄国梁</dc:creator>
  <cp:keywords/>
  <dc:description/>
  <cp:lastModifiedBy>黄国梁</cp:lastModifiedBy>
  <cp:revision>7</cp:revision>
  <dcterms:created xsi:type="dcterms:W3CDTF">2025-10-29T01:51:00Z</dcterms:created>
  <dcterms:modified xsi:type="dcterms:W3CDTF">2025-11-15T03:26:00Z</dcterms:modified>
</cp:coreProperties>
</file>