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sz w:val="36"/>
          <w:szCs w:val="36"/>
        </w:rPr>
        <w:t xml:space="preserve">“</w:t>
      </w:r>
      <w:r>
        <w:rPr>
          <w:rFonts w:ascii="楷体" w:eastAsia="楷体" w:hAnsi="楷体" w:cs="楷体" w:hint="eastAsia"/>
          <w:b/>
          <w:bCs/>
          <w:spacing w:val="-1"/>
          <w:sz w:val="36"/>
          <w:szCs w:val="36"/>
        </w:rPr>
        <w:t xml:space="preserve">苏银理财恒源封闭三年鑫利29期</w:t>
      </w:r>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2025年四季度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苏银理财恒源封闭三年鑫利29期</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2025年05月07日</w:t>
      </w:r>
      <w:r>
        <w:rPr>
          <w:rFonts w:ascii="楷体" w:eastAsia="楷体" w:hAnsi="楷体" w:cs="楷体" w:hint="eastAsia"/>
        </w:rPr>
        <w:t xml:space="preserve">成立，于</w:t>
      </w:r>
      <w:r>
        <w:rPr>
          <w:rFonts w:ascii="楷体" w:eastAsia="楷体" w:hAnsi="楷体" w:cs="楷体" w:hint="eastAsia"/>
          <w:spacing w:val="-7"/>
        </w:rPr>
        <w:t xml:space="preserve">2025年05月07日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0" w:name="_Toc535504139"/>
      <w:r>
        <w:rPr>
          <w:rFonts w:ascii="楷体" w:eastAsia="楷体" w:hAnsi="楷体" w:cs="楷体" w:hint="eastAsia"/>
        </w:rPr>
        <w:t xml:space="preserve">、产品基本情况</w:t>
      </w:r>
      <w:bookmarkEnd w:id="0"/>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苏银理财恒源封闭三年鑫利29期</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Z7003125000051</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封闭式净值型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34,080,449.00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34,214,367.18</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31000188000679529</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34,216,758.15</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100.01%</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2025-12-31</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苏银理财恒源封闭三年鑫利29期A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1.003973</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1.018019</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2.70%-3.30%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苏银理财恒源封闭三年鑫利29期B</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1.003676</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1.016708</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2.50%-3.10%</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87"/>
        <w:gridCol w:w="2644"/>
        <w:gridCol w:w="2642"/>
      </w:tblGrid>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8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4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bookmarkStart w:id="1" w:name="_GoBack"/>
            <w:bookmarkEnd w:id="1"/>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1.92%</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98.08%</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权益类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商品及金融衍生品类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混合类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14"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4"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1.92%</w:t>
            </w:r>
          </w:p>
        </w:tc>
        <w:tc>
          <w:tcPr>
            <w:tcW w:w="264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98.08%</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安联裕远23号资产管理产品</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非标准化债权类资产</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12,006,000.00</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34.10%</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1,949,705.48</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5.54%</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25建设银行CD006</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434,542.41</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1.23%</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25农业银行CD336</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431,317.08</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1.22%</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5</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24广发Y2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权益类投资</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264,908.91</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0.75%</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6</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25农业银行CD112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259,836.44</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0.74%</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7</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25农业银行CD131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259,515.08</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0.74%</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8</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22中国银行二级01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218,267.96</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0.62%</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9</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24扬子Y2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权益类投资</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182,128.72</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0.52%</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10</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24临平Y1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权益类投资</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181,583.81</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0.52%</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参与上市公司2025年员工持股计划的员工</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安联裕远23号资产管理产品</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821</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12,000,000.00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到期一次还本付息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投资资产管理计划</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参与上市公司2025年员工持股计划的员工</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highlight w:val="none"/>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NETA20201230000002</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江苏信托鼎泰1号集合资金信托计划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24,559,836.00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30,559,045.79</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ZZGL202109150141</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江苏信托鼎泰3号集合资金信托计划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336,301.00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400,000.00</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4,895.92</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1,704.70</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江苏仪征农村商业银行股份有限公司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12.38</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苏州银行股份有限公司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790.48</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2025-12-31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34,080,449.00</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2025-09-30</w:t>
            </w:r>
          </w:p>
        </w:tc>
        <w:tc>
          <w:tcPr>
            <w:tcW w:w="4507"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34,080,449.00</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四</w:t>
      </w:r>
      <w:r>
        <w:rPr>
          <w:rFonts w:ascii="楷体" w:hAnsi="楷体" w:cs="楷体" w:hint="eastAsia"/>
          <w:lang w:eastAsia="zh-CN"/>
        </w:rPr>
        <w:t xml:space="preserve">、</w:t>
      </w:r>
      <w:r>
        <w:rPr>
          <w:rFonts w:ascii="楷体" w:eastAsia="楷体" w:hAnsi="楷体" w:cs="楷体" w:hint="eastAsia"/>
        </w:rPr>
        <w:t xml:space="preserve">投资运作情况</w:t>
      </w:r>
    </w:p>
    <w:p>
      <w:pPr>
        <w:pStyle w:val="Heading3"/>
        <w:rPr>
          <w:rFonts w:ascii="楷体" w:eastAsia="楷体" w:hAnsi="楷体" w:cs="楷体" w:hint="eastAsia"/>
          <w:b w:val="0"/>
          <w:sz w:val="21"/>
        </w:rPr>
      </w:pPr>
      <w:r>
        <w:rPr>
          <w:rFonts w:ascii="楷体" w:eastAsia="楷体" w:hAnsi="楷体" w:cs="楷体" w:hint="eastAsia"/>
          <w:b w:val="0"/>
          <w:sz w:val="21"/>
        </w:rPr>
        <w:t xml:space="preserve">1、运作期回顾</w:t>
      </w:r>
    </w:p>
    <w:p>
      <w:pPr>
        <w:pStyle w:val="BodyText"/>
        <w:spacing w:before="0" w:line="240" w:lineRule="auto"/>
        <w:ind w:left="0" w:right="0" w:firstLine="0" w:firstLineChars="0"/>
        <w:rPr>
          <w:rFonts w:ascii="楷体" w:eastAsia="楷体" w:hAnsi="楷体" w:cs="楷体" w:hint="eastAsia"/>
          <w:spacing w:val="8"/>
          <w:sz w:val="21"/>
        </w:rPr>
      </w:pPr>
      <w:r>
        <w:rPr>
          <w:rFonts w:ascii="楷体" w:eastAsia="楷体" w:hAnsi="楷体" w:cs="楷体" w:hint="eastAsia"/>
          <w:spacing w:val="8"/>
          <w:sz w:val="21"/>
        </w:rPr>
        <w:t xml:space="preserve">　　本理财产品以固收类资产和非标资产为主，采用低波稳健策略，主要配置优质非标与中高等级债券。四季度债券市场整体呈震荡趋势，由于产品配置的债券资产兼顾安全性与收益性，产品整体表现较为稳健，后续有望继续提供长期稳健收益。</w:t>
      </w:r>
    </w:p>
    <w:p>
      <w:pPr>
        <w:pStyle w:val="BodyText"/>
        <w:spacing w:before="43" w:line="275" w:lineRule="auto"/>
        <w:ind w:right="1799" w:firstLine="226" w:firstLineChars="100"/>
        <w:rPr>
          <w:rFonts w:ascii="楷体" w:eastAsia="楷体" w:hAnsi="楷体" w:cs="楷体" w:hint="eastAsia"/>
          <w:spacing w:val="8"/>
          <w:sz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2、后市展望及下阶段投资策略</w:t>
      </w:r>
    </w:p>
    <w:p>
      <w:pPr>
        <w:pStyle w:val="BodyText"/>
        <w:spacing w:before="0" w:line="240" w:lineRule="auto"/>
        <w:ind w:left="0" w:right="0" w:firstLine="0" w:firstLineChars="0"/>
        <w:jc w:val="both"/>
        <w:rPr>
          <w:rFonts w:ascii="楷体" w:eastAsia="楷体" w:hAnsi="楷体" w:cs="楷体" w:hint="eastAsia"/>
          <w:sz w:val="21"/>
        </w:rPr>
      </w:pPr>
      <w:r>
        <w:rPr>
          <w:rFonts w:ascii="楷体" w:eastAsia="楷体" w:hAnsi="楷体" w:cs="楷体" w:hint="eastAsia"/>
          <w:spacing w:val="9"/>
          <w:sz w:val="21"/>
        </w:rPr>
        <w:t xml:space="preserve">　　从基本面看，四季度GDP增速为4.5%，全年GDP同比增长5.0%，虽较前三季度有所放缓，但仍完成全年5.0%的增长目标。工业生产表现强劲，12月规模以上工业增加值同比增5.2%，预期增4.9%，全年全国规模以上工业增加值比上年增长5.9%。12月制造业PMI重回扩张区间，报50.1%。消费方面，12月份，社会消费品零售总额45136亿元，同比增长0.9%。物价方面，12月同比上涨0.8%；PPI12月降幅收窄至1.9%，物价水平总体温和偏低。总体来看，四季度经济顶住外部环境复杂变化与内部需求不足的双重压力，但回升向好的基础仍需进一步巩固。债券市场方面，四季度债券收益率整体呈现震荡特征，机构行为和市场情绪占主导地位，品种表现也明显分化。人行重启国债净买入，体现其对资金面的呵护态度不变，带动中短期国债情绪回暖。10年国债在1.75-1.85%区间震荡，超长债延续了三季度以来震荡上行的走势，收益率曲线陡峭化态势延续。总体来看，四季度债市延续了窄幅震荡的特征，后续仍需要密切关注与跟踪海外的不确定性以及全球的地缘政治风险，尤其是流动性的边际变化。</w:t>
      </w:r>
      <w:r>
        <w:rPr>
          <w:rFonts w:ascii="楷体" w:eastAsia="楷体" w:hAnsi="楷体" w:cs="楷体" w:hint="eastAsia"/>
          <w:spacing w:val="9"/>
          <w:sz w:val="21"/>
        </w:rPr>
        <w:br/>
      </w:r>
      <w:r>
        <w:rPr>
          <w:rFonts w:ascii="楷体" w:eastAsia="楷体" w:hAnsi="楷体" w:cs="楷体" w:hint="eastAsia"/>
          <w:spacing w:val="9"/>
          <w:sz w:val="21"/>
        </w:rPr>
        <w:t xml:space="preserve">　　未来，根据市场变化，控制组合久期处于合理稳健区间。资产配置上兼顾安全性、流动性和收益性，坚守风险合规底线，紧密跟踪市场变化，强化投资研究分析，致力于为广大投资者创造长期稳健的投资回报。</w:t>
      </w:r>
    </w:p>
    <w:p>
      <w:pPr>
        <w:ind w:firstLine="420" w:firstLineChars="200"/>
        <w:rPr>
          <w:rFonts w:ascii="楷体" w:eastAsia="楷体" w:hAnsi="楷体" w:cs="楷体" w:hint="eastAsia"/>
          <w:bCs/>
          <w:kern w:val="0"/>
          <w:szCs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3、流动性风险分析</w:t>
      </w:r>
    </w:p>
    <w:p>
      <w:pPr>
        <w:pStyle w:val="BodyText"/>
        <w:spacing w:before="0" w:line="240" w:lineRule="auto"/>
        <w:ind w:left="0" w:right="0" w:firstLine="0" w:firstLineChars="0"/>
        <w:rPr>
          <w:rFonts w:ascii="楷体" w:eastAsia="楷体" w:hAnsi="楷体" w:cs="楷体" w:hint="eastAsia"/>
          <w:sz w:val="21"/>
        </w:rPr>
      </w:pPr>
      <w:r>
        <w:rPr>
          <w:rFonts w:ascii="楷体" w:eastAsia="楷体" w:hAnsi="楷体" w:cs="楷体" w:hint="eastAsia"/>
          <w:spacing w:val="9"/>
          <w:sz w:val="21"/>
        </w:rPr>
        <w:t xml:space="preserve">　　本产品持仓优质非标资产与固收类资产，抗市场波动能力较强，通过组合久期管理、流动性指标监测等多项措施持续加强久期与流动性管理，有效控制产品的流动性风险。</w:t>
      </w:r>
    </w:p>
    <w:p>
      <w:pPr>
        <w:ind w:firstLine="420" w:firstLineChars="200"/>
        <w:rPr>
          <w:rFonts w:ascii="楷体" w:eastAsia="楷体" w:hAnsi="楷体" w:cs="楷体" w:hint="eastAsia"/>
          <w:bCs/>
          <w:kern w:val="0"/>
          <w:szCs w:val="21"/>
        </w:rPr>
      </w:pPr>
    </w:p>
    <w:p>
      <w:pPr>
        <w:rPr>
          <w:rFonts w:ascii="楷体" w:eastAsia="楷体" w:hAnsi="楷体" w:cs="楷体" w:hint="eastAsia"/>
        </w:rPr>
      </w:pPr>
    </w:p>
    <w:p>
      <w:pPr>
        <w:ind w:firstLine="420" w:firstLineChars="200"/>
        <w:rPr>
          <w:rFonts w:ascii="楷体" w:eastAsia="楷体" w:hAnsi="楷体" w:cs="楷体" w:hint="eastAsia"/>
          <w:bCs/>
          <w:kern w:val="0"/>
          <w:szCs w:val="21"/>
        </w:rPr>
      </w:pP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2025年12月31日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E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4268"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4270"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4271"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4273"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6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宋体" w:hAnsi="Arial" w:eastAsiaTheme="minorEastAsia" w:cs="Arial"/>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character" w:styleId="annotationreference">
    <w:name w:val="annotation reference"/>
    <w:uiPriority w:val="99"/>
    <w:unhideWhenUsed/>
    <w:qFormat/>
    <w:rPr>
      <w:sz w:val="21"/>
      <w:szCs w:val="21"/>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zhangguoxing</cp:lastModifiedBy>
  <dcterms:modified xsi:type="dcterms:W3CDTF">2025-10-13T11:54:56Z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18</TotalTime>
  <ScaleCrop>false</ScaleCrop>
  <LinksUpToDate>false</LinksUpToDate>
  <CharactersWithSpaces>2803</CharactersWithSpaces>
  <Application>WPS Office_10.8.2.7119_F1E327BC-269C-435d-A152-05C5408002CA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2052-10.8.2.7119</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18</TotalTime>
  <Pages>4</Pages>
  <Words>419</Words>
  <Characters>2389</Characters>
  <Application>WPS Office_10.8.2.7119_F1E327BC-269C-435d-A152-05C5408002CA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zhangguoxing</cp:lastModifiedBy>
  <cp:revision>22</cp:revision>
  <dcterms:created xsi:type="dcterms:W3CDTF">2021-11-18T10:04:00Z</dcterms:created>
  <dcterms:modified xsi:type="dcterms:W3CDTF">2026-01-21T10:42:45Z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2052-10.8.2.7119</vt:lpstr>
  </property>
  <property fmtid="{D5CDD505-2E9C-101B-9397-08002B2CF9AE}" pid="3" name="ICV">
    <vt:lpstr>31802637FF8E4298AD1DCE61A946E12D</vt:lpstr>
  </property>
</Properties>
</file>