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pageBreakBefore w:val="0"/>
        <w:spacing w:before="0" w:beforeAutospacing="0" w:after="0" w:afterAutospacing="0" w:line="240" w:lineRule="auto"/>
        <w:jc w:val="center"/>
        <w:rPr>
          <w:rFonts w:hint="eastAsia" w:ascii="楷体" w:hAnsi="楷体" w:eastAsia="楷体"/>
          <w:b/>
          <w:color w:val="auto"/>
          <w:sz w:val="28"/>
          <w:szCs w:val="28"/>
          <w:highlight w:val="none"/>
          <w:lang w:eastAsia="zh-CN"/>
        </w:rPr>
      </w:pPr>
      <w:r>
        <w:rPr>
          <w:rFonts w:hint="eastAsia" w:ascii="楷体" w:hAnsi="楷体" w:eastAsia="楷体"/>
          <w:b/>
          <w:color w:val="auto"/>
          <w:sz w:val="28"/>
          <w:szCs w:val="28"/>
          <w:highlight w:val="none"/>
        </w:rPr>
        <w:t>“苏银理财恒源鑫安最短持有180天”理财产品</w:t>
      </w:r>
      <w:r>
        <w:rPr>
          <w:rFonts w:hint="eastAsia" w:ascii="楷体" w:hAnsi="楷体" w:eastAsia="楷体"/>
          <w:b/>
          <w:color w:val="auto"/>
          <w:sz w:val="28"/>
          <w:szCs w:val="28"/>
          <w:highlight w:val="none"/>
          <w:lang w:val="en-US" w:eastAsia="zh-CN"/>
        </w:rPr>
        <w:t>说明书</w:t>
      </w:r>
    </w:p>
    <w:p>
      <w:pPr>
        <w:jc w:val="center"/>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val="en-US" w:eastAsia="zh-CN"/>
        </w:rPr>
        <w:t>（2025年11月版）</w:t>
      </w:r>
    </w:p>
    <w:p>
      <w:pPr>
        <w:jc w:val="center"/>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w:t>
      </w:r>
      <w:r>
        <w:rPr>
          <w:rFonts w:hint="eastAsia" w:ascii="楷体" w:hAnsi="楷体" w:eastAsia="楷体"/>
          <w:sz w:val="21"/>
          <w:szCs w:val="21"/>
          <w:highlight w:val="none"/>
          <w:lang w:eastAsia="zh-CN"/>
        </w:rPr>
        <w:t>苏银理财恒源鑫安最短持有180天</w:t>
      </w:r>
      <w:r>
        <w:rPr>
          <w:rFonts w:hint="eastAsia" w:ascii="楷体" w:hAnsi="楷体" w:eastAsia="楷体"/>
          <w:sz w:val="21"/>
          <w:szCs w:val="21"/>
          <w:highlight w:val="none"/>
        </w:rPr>
        <w:t>”理财产品风险揭示书》的“风险揭示”部分。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numPr>
          <w:ilvl w:val="0"/>
          <w:numId w:val="0"/>
        </w:numPr>
        <w:tabs>
          <w:tab w:val="left" w:pos="728"/>
        </w:tabs>
        <w:ind w:left="0" w:leftChars="0" w:firstLine="420" w:firstLineChars="200"/>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苏银理财恒源鑫安最短持有180天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Z7003124000155，投资者可依据该编码在中国理财网www.chinawealth.com.cn查询产品信息。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w:t>
            </w:r>
            <w:r>
              <w:rPr>
                <w:rFonts w:hint="default" w:ascii="楷体" w:hAnsi="楷体" w:eastAsia="楷体" w:cs="宋体"/>
                <w:spacing w:val="-2"/>
                <w:sz w:val="18"/>
                <w:szCs w:val="18"/>
                <w:highlight w:val="none"/>
                <w:lang w:val="en-US" w:eastAsia="zh-CN"/>
              </w:rPr>
              <w:t>份额：苏银理财恒源鑫安最短持有180天</w:t>
            </w:r>
            <w:r>
              <w:rPr>
                <w:rFonts w:hint="eastAsia" w:ascii="楷体" w:hAnsi="楷体" w:eastAsia="楷体" w:cs="宋体"/>
                <w:spacing w:val="-2"/>
                <w:sz w:val="18"/>
                <w:szCs w:val="18"/>
                <w:highlight w:val="none"/>
                <w:lang w:val="en-US" w:eastAsia="zh-CN"/>
              </w:rPr>
              <w:t>A</w:t>
            </w:r>
            <w:r>
              <w:rPr>
                <w:rFonts w:hint="default" w:ascii="楷体" w:hAnsi="楷体" w:eastAsia="楷体" w:cs="宋体"/>
                <w:spacing w:val="-2"/>
                <w:sz w:val="18"/>
                <w:szCs w:val="18"/>
                <w:highlight w:val="none"/>
                <w:lang w:val="en-US" w:eastAsia="zh-CN"/>
              </w:rPr>
              <w:t>/J03578</w:t>
            </w:r>
          </w:p>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w:t>
            </w:r>
            <w:r>
              <w:rPr>
                <w:rFonts w:hint="default" w:ascii="楷体" w:hAnsi="楷体" w:eastAsia="楷体" w:cs="宋体"/>
                <w:spacing w:val="-2"/>
                <w:sz w:val="18"/>
                <w:szCs w:val="18"/>
                <w:highlight w:val="none"/>
                <w:lang w:val="en-US" w:eastAsia="zh-CN"/>
              </w:rPr>
              <w:t>份额：苏银理财恒源鑫安最短持有180天</w:t>
            </w:r>
            <w:r>
              <w:rPr>
                <w:rFonts w:hint="eastAsia" w:ascii="楷体" w:hAnsi="楷体" w:eastAsia="楷体" w:cs="宋体"/>
                <w:spacing w:val="-2"/>
                <w:sz w:val="18"/>
                <w:szCs w:val="18"/>
                <w:highlight w:val="none"/>
                <w:lang w:val="en-US" w:eastAsia="zh-CN"/>
              </w:rPr>
              <w:t>B</w:t>
            </w:r>
            <w:r>
              <w:rPr>
                <w:rFonts w:hint="default" w:ascii="楷体" w:hAnsi="楷体" w:eastAsia="楷体" w:cs="宋体"/>
                <w:spacing w:val="-2"/>
                <w:sz w:val="18"/>
                <w:szCs w:val="18"/>
                <w:highlight w:val="none"/>
                <w:lang w:val="en-US" w:eastAsia="zh-CN"/>
              </w:rPr>
              <w:t>/J03857</w:t>
            </w:r>
          </w:p>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D份额：苏银理财恒源鑫安最短持有180天D/J07281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本产品计划发行规模为100亿元，管理人有权根据实际需要调整计划发行规模。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募集期及资金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A</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w:t>
            </w:r>
            <w:r>
              <w:rPr>
                <w:rFonts w:hint="eastAsia" w:ascii="楷体" w:hAnsi="楷体" w:eastAsia="楷体"/>
                <w:sz w:val="18"/>
                <w:szCs w:val="18"/>
                <w:highlight w:val="none"/>
                <w:lang w:val="en-US" w:eastAsia="zh-CN"/>
              </w:rPr>
              <w:t>;B</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w:t>
            </w:r>
            <w:r>
              <w:rPr>
                <w:rFonts w:hint="eastAsia" w:ascii="楷体" w:hAnsi="楷体" w:eastAsia="楷体"/>
                <w:sz w:val="18"/>
                <w:szCs w:val="18"/>
                <w:highlight w:val="none"/>
                <w:lang w:val="en-US" w:eastAsia="zh-CN"/>
              </w:rPr>
              <w:t>;D</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1</w:t>
            </w:r>
            <w:r>
              <w:rPr>
                <w:rFonts w:hint="eastAsia" w:ascii="楷体" w:hAnsi="楷体" w:eastAsia="楷体"/>
                <w:sz w:val="18"/>
                <w:szCs w:val="18"/>
                <w:highlight w:val="none"/>
              </w:rPr>
              <w:t>元的整数倍。苏银理财有权对上述起点金额和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2024年10月31日至2024年11月7日。</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2024年11月8日。</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eastAsia="zh-CN"/>
              </w:rPr>
              <w:t>2034年12月29日。</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2024年11月8日-2024年12月8日，</w:t>
            </w:r>
            <w:r>
              <w:rPr>
                <w:rFonts w:hint="eastAsia" w:ascii="楷体" w:hAnsi="楷体" w:eastAsia="楷体" w:cs="宋体"/>
                <w:b/>
                <w:bCs/>
                <w:spacing w:val="-2"/>
                <w:sz w:val="18"/>
                <w:szCs w:val="18"/>
                <w:highlight w:val="none"/>
              </w:rPr>
              <w:t>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期为180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180天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val="0"/>
              <w:wordWrap/>
              <w:overflowPunct w:val="0"/>
              <w:topLinePunct w:val="0"/>
              <w:autoSpaceDE w:val="0"/>
              <w:autoSpaceDN w:val="0"/>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本产品封闭运作期结束后，自2024年12月9日起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暂无</w:t>
            </w:r>
            <w:r>
              <w:rPr>
                <w:rFonts w:hint="eastAsia" w:ascii="楷体" w:hAnsi="楷体" w:eastAsia="楷体" w:cs="宋体"/>
                <w:spacing w:val="-2"/>
                <w:sz w:val="18"/>
                <w:szCs w:val="18"/>
                <w:highlight w:val="none"/>
              </w:rPr>
              <w:t>。超过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w:t>
            </w:r>
            <w:r>
              <w:rPr>
                <w:rFonts w:hint="eastAsia" w:ascii="楷体" w:hAnsi="楷体" w:eastAsia="楷体" w:cs="宋体"/>
                <w:b/>
                <w:spacing w:val="-2"/>
                <w:sz w:val="18"/>
                <w:szCs w:val="18"/>
                <w:highlight w:val="none"/>
                <w:u w:val="single"/>
              </w:rPr>
              <w:t>苏银理财参考过往投资经验，依据近期货币市场工具、债券、股票</w:t>
            </w:r>
            <w:r>
              <w:rPr>
                <w:rFonts w:hint="eastAsia" w:ascii="楷体" w:hAnsi="楷体" w:eastAsia="楷体" w:cs="宋体"/>
                <w:b/>
                <w:spacing w:val="-2"/>
                <w:sz w:val="18"/>
                <w:szCs w:val="18"/>
                <w:highlight w:val="none"/>
                <w:u w:val="single"/>
                <w:lang w:val="en-US" w:eastAsia="zh-CN"/>
              </w:rPr>
              <w:t>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1.9</w:t>
            </w:r>
            <w:r>
              <w:rPr>
                <w:rFonts w:hint="eastAsia" w:ascii="楷体" w:hAnsi="楷体" w:eastAsia="楷体" w:cs="宋体"/>
                <w:spacing w:val="-2"/>
                <w:sz w:val="18"/>
                <w:szCs w:val="18"/>
                <w:highlight w:val="none"/>
              </w:rPr>
              <w:t>0%-</w:t>
            </w:r>
            <w:r>
              <w:rPr>
                <w:rFonts w:hint="eastAsia" w:ascii="楷体" w:hAnsi="楷体" w:eastAsia="楷体" w:cs="宋体"/>
                <w:spacing w:val="-2"/>
                <w:sz w:val="18"/>
                <w:szCs w:val="18"/>
                <w:highlight w:val="none"/>
                <w:lang w:val="en-US" w:eastAsia="zh-CN"/>
              </w:rPr>
              <w:t>3</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4</w:t>
            </w:r>
            <w:r>
              <w:rPr>
                <w:rFonts w:hint="eastAsia" w:ascii="楷体" w:hAnsi="楷体" w:eastAsia="楷体" w:cs="宋体"/>
                <w:spacing w:val="-2"/>
                <w:sz w:val="18"/>
                <w:szCs w:val="18"/>
                <w:highlight w:val="none"/>
              </w:rPr>
              <w:t>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B</w:t>
            </w:r>
            <w:r>
              <w:rPr>
                <w:rFonts w:hint="eastAsia" w:ascii="楷体" w:hAnsi="楷体" w:eastAsia="楷体" w:cs="宋体"/>
                <w:spacing w:val="-2"/>
                <w:sz w:val="18"/>
                <w:szCs w:val="18"/>
                <w:highlight w:val="none"/>
              </w:rPr>
              <w:t>份额：1.</w:t>
            </w:r>
            <w:r>
              <w:rPr>
                <w:rFonts w:hint="eastAsia" w:ascii="楷体" w:hAnsi="楷体" w:eastAsia="楷体" w:cs="宋体"/>
                <w:spacing w:val="-2"/>
                <w:sz w:val="18"/>
                <w:szCs w:val="18"/>
                <w:highlight w:val="none"/>
                <w:lang w:val="en-US" w:eastAsia="zh-CN"/>
              </w:rPr>
              <w:t>9</w:t>
            </w:r>
            <w:r>
              <w:rPr>
                <w:rFonts w:hint="eastAsia" w:ascii="楷体" w:hAnsi="楷体" w:eastAsia="楷体" w:cs="宋体"/>
                <w:spacing w:val="-2"/>
                <w:sz w:val="18"/>
                <w:szCs w:val="18"/>
                <w:highlight w:val="none"/>
              </w:rPr>
              <w:t>0%-3.</w:t>
            </w:r>
            <w:r>
              <w:rPr>
                <w:rFonts w:hint="eastAsia" w:ascii="楷体" w:hAnsi="楷体" w:eastAsia="楷体" w:cs="宋体"/>
                <w:spacing w:val="-2"/>
                <w:sz w:val="18"/>
                <w:szCs w:val="18"/>
                <w:highlight w:val="none"/>
                <w:lang w:val="en-US" w:eastAsia="zh-CN"/>
              </w:rPr>
              <w:t>4</w:t>
            </w:r>
            <w:r>
              <w:rPr>
                <w:rFonts w:hint="eastAsia" w:ascii="楷体" w:hAnsi="楷体" w:eastAsia="楷体" w:cs="宋体"/>
                <w:spacing w:val="-2"/>
                <w:sz w:val="18"/>
                <w:szCs w:val="18"/>
                <w:highlight w:val="none"/>
              </w:rPr>
              <w:t>0%</w:t>
            </w:r>
            <w:r>
              <w:rPr>
                <w:rFonts w:hint="eastAsia" w:ascii="楷体" w:hAnsi="楷体" w:eastAsia="楷体" w:cs="宋体"/>
                <w:spacing w:val="-2"/>
                <w:sz w:val="18"/>
                <w:szCs w:val="18"/>
                <w:highlight w:val="none"/>
                <w:lang w:eastAsia="zh-CN"/>
              </w:rPr>
              <w:t>；D份额：</w:t>
            </w:r>
            <w:r>
              <w:rPr>
                <w:rFonts w:hint="eastAsia" w:ascii="楷体" w:hAnsi="楷体" w:eastAsia="楷体" w:cs="宋体"/>
                <w:spacing w:val="-2"/>
                <w:sz w:val="18"/>
                <w:szCs w:val="18"/>
                <w:highlight w:val="none"/>
                <w:lang w:val="en-US" w:eastAsia="zh-CN"/>
              </w:rPr>
              <w:t>1.85</w:t>
            </w:r>
            <w:r>
              <w:rPr>
                <w:rFonts w:hint="eastAsia" w:ascii="楷体" w:hAnsi="楷体" w:eastAsia="楷体" w:cs="宋体"/>
                <w:spacing w:val="-2"/>
                <w:sz w:val="18"/>
                <w:szCs w:val="18"/>
                <w:highlight w:val="none"/>
                <w:lang w:eastAsia="zh-CN"/>
              </w:rPr>
              <w:t>%-3.</w:t>
            </w:r>
            <w:r>
              <w:rPr>
                <w:rFonts w:hint="eastAsia" w:ascii="楷体" w:hAnsi="楷体" w:eastAsia="楷体" w:cs="宋体"/>
                <w:spacing w:val="-2"/>
                <w:sz w:val="18"/>
                <w:szCs w:val="18"/>
                <w:highlight w:val="none"/>
                <w:lang w:val="en-US" w:eastAsia="zh-CN"/>
              </w:rPr>
              <w:t>35</w:t>
            </w:r>
            <w:r>
              <w:rPr>
                <w:rFonts w:hint="eastAsia" w:ascii="楷体" w:hAnsi="楷体" w:eastAsia="楷体" w:cs="宋体"/>
                <w:spacing w:val="-2"/>
                <w:sz w:val="18"/>
                <w:szCs w:val="18"/>
                <w:highlight w:val="none"/>
                <w:lang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0.04</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w:t>
            </w: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0.30</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B份额0.40%，</w:t>
            </w:r>
            <w:r>
              <w:rPr>
                <w:rFonts w:hint="eastAsia" w:ascii="楷体" w:hAnsi="楷体" w:eastAsia="楷体" w:cs="宋体"/>
                <w:spacing w:val="-2"/>
                <w:sz w:val="18"/>
                <w:szCs w:val="18"/>
                <w:highlight w:val="none"/>
                <w:lang w:eastAsia="zh-CN"/>
              </w:rPr>
              <w:t>D份额</w:t>
            </w:r>
            <w:r>
              <w:rPr>
                <w:rFonts w:hint="eastAsia" w:ascii="楷体" w:hAnsi="楷体" w:eastAsia="楷体" w:cs="宋体"/>
                <w:spacing w:val="-2"/>
                <w:sz w:val="18"/>
                <w:szCs w:val="18"/>
                <w:highlight w:val="none"/>
                <w:lang w:val="en-US" w:eastAsia="zh-CN"/>
              </w:rPr>
              <w:t>0.45%</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w:t>
            </w:r>
            <w:r>
              <w:rPr>
                <w:rFonts w:hint="eastAsia" w:ascii="楷体" w:hAnsi="楷体" w:eastAsia="楷体" w:cs="宋体"/>
                <w:spacing w:val="-2"/>
                <w:sz w:val="18"/>
                <w:szCs w:val="18"/>
                <w:highlight w:val="none"/>
                <w:lang w:val="en-US" w:eastAsia="zh-CN"/>
              </w:rPr>
              <w:t>A</w:t>
            </w:r>
            <w:r>
              <w:rPr>
                <w:rFonts w:hint="eastAsia" w:ascii="楷体" w:hAnsi="楷体" w:eastAsia="楷体" w:cs="宋体"/>
                <w:spacing w:val="-2"/>
                <w:sz w:val="18"/>
                <w:szCs w:val="18"/>
                <w:highlight w:val="none"/>
              </w:rPr>
              <w:t>份额</w:t>
            </w:r>
            <w:r>
              <w:rPr>
                <w:rFonts w:hint="eastAsia" w:ascii="楷体" w:hAnsi="楷体" w:eastAsia="楷体" w:cs="宋体"/>
                <w:spacing w:val="-2"/>
                <w:sz w:val="18"/>
                <w:szCs w:val="18"/>
                <w:highlight w:val="none"/>
                <w:lang w:val="en-US" w:eastAsia="zh-CN"/>
              </w:rPr>
              <w:t>0.60</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B份额0.50%，</w:t>
            </w:r>
            <w:r>
              <w:rPr>
                <w:rFonts w:hint="eastAsia" w:ascii="楷体" w:hAnsi="楷体" w:eastAsia="楷体" w:cs="宋体"/>
                <w:spacing w:val="-2"/>
                <w:sz w:val="18"/>
                <w:szCs w:val="18"/>
                <w:highlight w:val="none"/>
                <w:lang w:eastAsia="zh-CN"/>
              </w:rPr>
              <w:t>D份额</w:t>
            </w:r>
            <w:r>
              <w:rPr>
                <w:rFonts w:hint="eastAsia" w:ascii="楷体" w:hAnsi="楷体" w:eastAsia="楷体" w:cs="宋体"/>
                <w:spacing w:val="-2"/>
                <w:sz w:val="18"/>
                <w:szCs w:val="18"/>
                <w:highlight w:val="none"/>
                <w:lang w:val="en-US" w:eastAsia="zh-CN"/>
              </w:rPr>
              <w:t>0.50%</w:t>
            </w:r>
            <w:r>
              <w:rPr>
                <w:rFonts w:hint="eastAsia" w:ascii="楷体" w:hAnsi="楷体" w:eastAsia="楷体" w:cs="宋体"/>
                <w:spacing w:val="-2"/>
                <w:sz w:val="18"/>
                <w:szCs w:val="18"/>
                <w:highlight w:val="none"/>
              </w:rPr>
              <w:t>。</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val="0"/>
              <w:autoSpaceDN w:val="0"/>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numPr>
          <w:ilvl w:val="0"/>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firstLineChars="200"/>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numPr>
          <w:ilvl w:val="0"/>
          <w:numId w:val="0"/>
        </w:numPr>
        <w:ind w:firstLine="420" w:firstLineChars="200"/>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银行股份有限公司/江苏江阴农村商业银行股份有限公司/苏州银行股份有限公司/齐鲁银行股份有限公司/苏银理财有限责任公司/江苏昆山农村商业银行股份有限公司/江苏张家港农村商业银行股份有限公司/杭州联合农村商业银行股份有限公司/浙江绍兴瑞丰农村商业银行股份有限公司/湖南银行股份有限公司/浙江萧山农村商业银行股份有限公司/宁波慈溪农村商业银行股份有限公司/宁夏银行股份有限公司/武汉农村商业银行股份有限公司/柳州银行股份有限公司/江苏紫金农村商业银行股份有限公司/江苏溧水农村商业银行股份有限公司/江苏仪征农村商业银行股份有限公司/江苏民丰农村商业银行股份有限公司/江苏射阳农村商业银行股份有限公司/浙江台州黄岩农村商业银行股份有限公司/浙江台州路桥农村商业银行股份有限公司/浙江天台农村商业银行股份有限公司/浙江舟山普陀农村商业银行股份有限公司</w:t>
      </w:r>
    </w:p>
    <w:p>
      <w:pPr>
        <w:numPr>
          <w:ilvl w:val="0"/>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B份额：齐鲁银行股份有限公司/苏银理财有限责任公司/甘肃银行股份有限公司/江苏昆山农村商业银行股份有限公司/兰州银行股份有限公司</w:t>
      </w:r>
    </w:p>
    <w:p>
      <w:pPr>
        <w:numPr>
          <w:ilvl w:val="0"/>
          <w:numId w:val="0"/>
        </w:numPr>
        <w:tabs>
          <w:tab w:val="left" w:pos="993"/>
        </w:tabs>
        <w:ind w:left="0" w:leftChars="0" w:firstLine="420" w:firstLineChars="200"/>
        <w:rPr>
          <w:rFonts w:hint="default"/>
          <w:lang w:val="en-US" w:eastAsia="zh-CN"/>
        </w:rPr>
      </w:pPr>
      <w:r>
        <w:rPr>
          <w:rFonts w:hint="eastAsia" w:ascii="楷体" w:hAnsi="楷体" w:eastAsia="楷体"/>
          <w:b w:val="0"/>
          <w:bCs w:val="0"/>
          <w:sz w:val="21"/>
          <w:szCs w:val="21"/>
          <w:highlight w:val="none"/>
          <w:u w:val="none"/>
          <w:lang w:val="en-US" w:eastAsia="zh-CN"/>
        </w:rPr>
        <w:t>D份额：苏银理财有限责任公司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现金、银行存款、债券回购、中央银行票据、同业存单、拆借、货币市场基金、债券、在银行间市场和证券交易所市场发行的资产支持证券、权益类资产（包括股票、公募基金等）和监管机构允许投资的其他资产（不含金融衍生品）。具体资产投资比例为：固定收益类资产占产品资产总值比例97%-100%，权益类资产和监管机构允许投资的其他资产占产品资产总值比例不高于3%。</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通过自上而下的宏观经济基本面分析，在通过投资固定收益类资产获得稳定投资收益的同时，通过对权益资产组合的动态调整增厚收益，实现投资组合能够适应不同经济和市场情景的目的。计划以中长久期信用债为基底，叠加债券交易策略增厚收益，权益资产主要以稳健低波策略和港股高股息策略为工具，基于市场背景适时参与实现固收增强。</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highlight w:val="none"/>
          <w:lang w:eastAsia="zh-CN"/>
        </w:rPr>
      </w:pPr>
      <w:r>
        <w:rPr>
          <w:rFonts w:hint="default" w:ascii="Calibri" w:hAnsi="Calibri" w:eastAsia="楷体" w:cs="Calibri"/>
          <w:sz w:val="21"/>
          <w:szCs w:val="21"/>
          <w:highlight w:val="none"/>
        </w:rPr>
        <w:t>①苏豪弘业期货股份有限</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lang w:eastAsia="zh-CN"/>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eastAsia" w:ascii="楷体" w:hAnsi="楷体" w:eastAsia="楷体"/>
          <w:sz w:val="21"/>
          <w:szCs w:val="21"/>
          <w:highlight w:val="none"/>
          <w:lang w:val="en-US" w:eastAsia="zh-CN"/>
        </w:rPr>
        <w:t>。</w:t>
      </w:r>
      <w:r>
        <w:rPr>
          <w:rFonts w:hint="default" w:ascii="Calibri" w:hAnsi="Calibri" w:eastAsia="楷体" w:cs="Calibri"/>
          <w:sz w:val="21"/>
          <w:szCs w:val="21"/>
          <w:highlight w:val="none"/>
          <w:lang w:eastAsia="zh-CN"/>
        </w:rPr>
        <w:t>②江苏省国际信托有限责任公司</w:t>
      </w:r>
      <w:r>
        <w:rPr>
          <w:rFonts w:hint="eastAsia" w:ascii="楷体" w:hAnsi="楷体" w:eastAsia="楷体"/>
          <w:sz w:val="21"/>
          <w:szCs w:val="21"/>
          <w:highlight w:val="none"/>
          <w:lang w:eastAsia="zh-CN"/>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sz w:val="21"/>
          <w:szCs w:val="21"/>
          <w:highlight w:val="none"/>
          <w:lang w:val="en-US" w:eastAsia="zh-CN"/>
        </w:rPr>
        <w:t>③</w:t>
      </w:r>
      <w:r>
        <w:rPr>
          <w:rFonts w:hint="eastAsia" w:ascii="楷体" w:hAnsi="楷体" w:eastAsia="楷体"/>
          <w:sz w:val="21"/>
          <w:szCs w:val="21"/>
          <w:highlight w:val="none"/>
          <w:lang w:eastAsia="zh-CN"/>
        </w:rPr>
        <w:t>华安基金管理有限公司：华安基金管理有限公司于1998年6月4日经中国证监会证监基字[1998]20号文核准成立，注册资本为5,000万元人民币。2000年8月18日经中国证监会证监基金字[2000]29号文核准，公司注册资本增加到15,000万元人民币。</w:t>
      </w:r>
      <w:r>
        <w:rPr>
          <w:rFonts w:hint="eastAsia" w:ascii="楷体" w:hAnsi="楷体" w:eastAsia="楷体"/>
          <w:sz w:val="21"/>
          <w:szCs w:val="21"/>
          <w:highlight w:val="none"/>
          <w:lang w:val="en-US" w:eastAsia="zh-CN"/>
        </w:rPr>
        <w:t>④</w:t>
      </w:r>
      <w:r>
        <w:rPr>
          <w:rFonts w:hint="eastAsia" w:ascii="楷体" w:hAnsi="楷体" w:eastAsia="楷体"/>
          <w:sz w:val="21"/>
          <w:szCs w:val="21"/>
          <w:highlight w:val="none"/>
          <w:lang w:eastAsia="zh-CN"/>
        </w:rPr>
        <w:t>国泰君安期货有限公司：国泰君安期货有限公司是国泰君安证券股份有限公司全资子公司，是首批获得金融期货全面结算业务资格的期货公司。公司能够为各类客户提供商品期货经纪、金融期货经纪、期货交易咨询、资产管理、场外衍生品、期现业务、跨境衍生品等综合金融服务。</w:t>
      </w:r>
      <w:r>
        <w:rPr>
          <w:rFonts w:hint="eastAsia" w:ascii="楷体" w:hAnsi="楷体" w:eastAsia="楷体"/>
          <w:sz w:val="21"/>
          <w:szCs w:val="21"/>
          <w:highlight w:val="none"/>
          <w:lang w:val="en-US" w:eastAsia="zh-CN"/>
        </w:rPr>
        <w:t>⑤</w:t>
      </w:r>
      <w:r>
        <w:rPr>
          <w:rFonts w:hint="eastAsia" w:ascii="楷体" w:hAnsi="楷体" w:eastAsia="楷体" w:cs="楷体"/>
          <w:sz w:val="21"/>
          <w:szCs w:val="21"/>
          <w:highlight w:val="none"/>
          <w:lang w:eastAsia="zh-CN"/>
        </w:rPr>
        <w:t>广发证券资产管理</w:t>
      </w:r>
      <w:r>
        <w:rPr>
          <w:rFonts w:hint="eastAsia" w:ascii="楷体" w:hAnsi="楷体" w:eastAsia="楷体"/>
          <w:sz w:val="21"/>
          <w:szCs w:val="21"/>
          <w:highlight w:val="none"/>
          <w:lang w:eastAsia="zh-CN"/>
        </w:rPr>
        <w:t>（广东）有限公司：广发证券资产管理（广东）有限公司的前身是广发证券资产管理部，于2014年1月2日成立，为广发证券股份有限公司全资控股的子公司，注册资本10亿元人民币，是华南地区首家券商系资产管理公司。公司经营范围包括：证券资产管理业务（含合格境内机构投资者境外证券投资管理业务）。</w:t>
      </w:r>
      <w:r>
        <w:rPr>
          <w:rFonts w:hint="eastAsia" w:ascii="楷体" w:hAnsi="楷体" w:eastAsia="楷体"/>
          <w:sz w:val="21"/>
          <w:szCs w:val="21"/>
          <w:highlight w:val="none"/>
          <w:lang w:val="en-US" w:eastAsia="zh-CN"/>
        </w:rPr>
        <w:t>⑥</w:t>
      </w:r>
      <w:r>
        <w:rPr>
          <w:rFonts w:hint="eastAsia" w:ascii="楷体" w:hAnsi="楷体" w:eastAsia="楷体" w:cs="楷体"/>
          <w:sz w:val="21"/>
          <w:szCs w:val="21"/>
          <w:highlight w:val="none"/>
          <w:lang w:eastAsia="zh-CN"/>
        </w:rPr>
        <w:t>创金合信基金管理有限公司：创金合信基金管理有限公司，2014年7月成立于中国深圳，股东由第一创业证券股份有限公司以及经营管理层和核心员工持股的投资合伙企业构成，是第一家成立时即实现员工持股的基金公司，截至目前注册资本2.33亿元。</w:t>
      </w:r>
      <w:r>
        <w:rPr>
          <w:rFonts w:hint="eastAsia" w:ascii="楷体" w:hAnsi="楷体" w:eastAsia="楷体" w:cs="楷体"/>
          <w:sz w:val="21"/>
          <w:szCs w:val="21"/>
          <w:highlight w:val="none"/>
          <w:lang w:val="en-US" w:eastAsia="zh-CN"/>
        </w:rPr>
        <w:t>⑦</w:t>
      </w:r>
      <w:r>
        <w:rPr>
          <w:rFonts w:hint="eastAsia" w:ascii="楷体" w:hAnsi="楷体" w:eastAsia="楷体"/>
          <w:sz w:val="21"/>
          <w:szCs w:val="21"/>
          <w:highlight w:val="none"/>
          <w:lang w:eastAsia="zh-CN"/>
        </w:rPr>
        <w:t>汇添富基金管理有限公司：汇添富基金管理股份有限公司成立于2005年，是中国一流的综合性资产管理公司之一。公司总部设立于上海，在北京、上海、广州、成都、南京等地设有分公司，在香港及上海设有子公司。</w:t>
      </w:r>
      <w:r>
        <w:rPr>
          <w:rFonts w:hint="eastAsia" w:ascii="楷体" w:hAnsi="楷体" w:eastAsia="楷体"/>
          <w:sz w:val="21"/>
          <w:szCs w:val="21"/>
          <w:highlight w:val="none"/>
          <w:lang w:val="en-US" w:eastAsia="zh-CN"/>
        </w:rPr>
        <w:t>⑧</w:t>
      </w:r>
      <w:r>
        <w:rPr>
          <w:rFonts w:hint="eastAsia" w:ascii="楷体" w:hAnsi="楷体" w:eastAsia="楷体"/>
          <w:sz w:val="21"/>
          <w:szCs w:val="21"/>
          <w:highlight w:val="none"/>
          <w:lang w:eastAsia="zh-CN"/>
        </w:rPr>
        <w:t>中信证券资产管理有限公司：中信证券资产管理有限公司是经中国证监会证监许可［2022］3254号文批准，由中信证券股份有限公司设立的全资证券资产管理子公司，公司注册资本10亿元。公司前身为中信证券资产管理部，自1998年开始经营资产管理业务，在投研能力和管理规模上均保持快速发展，与客户携手共同成长，受托管理资金总规模连续14年稳居同业首位。中信证券资产管理有限公司在固收、权益、另类、海外等多元资产与策略方面持续精进，为银行、信托、保险、非金融企业、高净值和零售个人等多元化客群提供全方位资产管理服务。</w:t>
      </w:r>
      <w:r>
        <w:rPr>
          <w:rFonts w:hint="eastAsia" w:ascii="楷体" w:hAnsi="楷体" w:eastAsia="楷体"/>
          <w:sz w:val="21"/>
          <w:szCs w:val="21"/>
          <w:highlight w:val="none"/>
          <w:lang w:val="en-US" w:eastAsia="zh-CN"/>
        </w:rPr>
        <w:t>⑨</w:t>
      </w:r>
      <w:r>
        <w:rPr>
          <w:rFonts w:hint="eastAsia" w:ascii="楷体" w:hAnsi="楷体" w:eastAsia="楷体"/>
          <w:sz w:val="21"/>
          <w:szCs w:val="21"/>
          <w:highlight w:val="none"/>
          <w:lang w:eastAsia="zh-CN"/>
        </w:rPr>
        <w:t>永诚保险资产管理有限公司：永诚保险资产管理有限公司是由永诚财产保险股份有限公司全资发起组建的保险资产管理公司，公司注册于浙江省宁波市，注册资本金为人民币3亿元。</w:t>
      </w:r>
    </w:p>
    <w:p>
      <w:pPr>
        <w:ind w:firstLine="420" w:firstLineChars="200"/>
        <w:rPr>
          <w:rFonts w:hint="eastAsia"/>
          <w:highlight w:val="none"/>
        </w:rPr>
      </w:pPr>
      <w:r>
        <w:rPr>
          <w:rFonts w:hint="eastAsia" w:ascii="楷体" w:hAnsi="楷体" w:eastAsia="楷体"/>
          <w:sz w:val="21"/>
          <w:szCs w:val="21"/>
          <w:highlight w:val="none"/>
        </w:rPr>
        <w:t>产品存续期内合作机构如有变化，管理人将按照监管规定和内部管理制度要求对合作机构进行准入，签署相关协议后，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8"/>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8"/>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ind w:firstLine="420" w:firstLineChars="200"/>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numPr>
          <w:ilvl w:val="0"/>
          <w:numId w:val="0"/>
        </w:numPr>
        <w:tabs>
          <w:tab w:val="left" w:pos="728"/>
        </w:tabs>
        <w:ind w:left="0" w:leftChars="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，按开放日接受投资者的申购/赎回申请，每个交易日为产品开放日（T日），其中投资者赎回份额需满足最短持有时间。开放日闭市前的申购/赎回申请当日受理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numPr>
          <w:ilvl w:val="0"/>
          <w:numId w:val="10"/>
        </w:numPr>
        <w:tabs>
          <w:tab w:val="left" w:pos="728"/>
        </w:tabs>
        <w:ind w:left="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numPr>
          <w:ilvl w:val="0"/>
          <w:numId w:val="10"/>
        </w:numPr>
        <w:tabs>
          <w:tab w:val="left" w:pos="728"/>
        </w:tabs>
        <w:ind w:left="0" w:firstLine="420" w:firstLineChars="200"/>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w:t>
      </w:r>
      <w:r>
        <w:rPr>
          <w:rFonts w:hint="eastAsia" w:ascii="楷体" w:hAnsi="楷体" w:eastAsia="楷体" w:cs="Calibri"/>
          <w:b w:val="0"/>
          <w:bCs/>
          <w:sz w:val="21"/>
          <w:szCs w:val="21"/>
          <w:highlight w:val="none"/>
          <w:lang w:val="en-US" w:eastAsia="zh-CN"/>
        </w:rPr>
        <w:t>T+1</w:t>
      </w:r>
      <w:r>
        <w:rPr>
          <w:rFonts w:hint="eastAsia" w:ascii="楷体" w:hAnsi="楷体" w:eastAsia="楷体" w:cs="Calibri"/>
          <w:b w:val="0"/>
          <w:bCs/>
          <w:sz w:val="21"/>
          <w:szCs w:val="21"/>
          <w:highlight w:val="none"/>
        </w:rPr>
        <w:t>日按开放日单位净值对申购/赎回申请予以统一</w:t>
      </w:r>
      <w:r>
        <w:rPr>
          <w:rFonts w:hint="eastAsia" w:ascii="楷体" w:hAnsi="楷体" w:eastAsia="楷体" w:cs="Calibri"/>
          <w:sz w:val="21"/>
          <w:szCs w:val="21"/>
          <w:highlight w:val="none"/>
        </w:rPr>
        <w:t>确认。</w:t>
      </w:r>
    </w:p>
    <w:p>
      <w:pPr>
        <w:ind w:firstLine="420" w:firstLineChars="200"/>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ind w:firstLine="420" w:firstLineChars="200"/>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ind w:firstLine="420" w:firstLineChars="200"/>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ind w:firstLine="420" w:firstLineChars="200"/>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9"/>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w:t>
      </w:r>
      <w:bookmarkStart w:id="0" w:name="_GoBack"/>
      <w:bookmarkEnd w:id="0"/>
      <w:r>
        <w:rPr>
          <w:rFonts w:hint="eastAsia" w:ascii="楷体" w:hAnsi="楷体" w:eastAsia="楷体"/>
          <w:sz w:val="21"/>
          <w:szCs w:val="21"/>
          <w:highlight w:val="none"/>
        </w:rPr>
        <w:t>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ind w:firstLine="420" w:firstLineChars="200"/>
        <w:jc w:val="both"/>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至资金实际到账日之间，投资者资金不计息。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tabs>
          <w:tab w:val="left" w:pos="993"/>
        </w:tabs>
        <w:ind w:left="480"/>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numPr>
          <w:ilvl w:val="0"/>
          <w:numId w:val="0"/>
        </w:numPr>
        <w:tabs>
          <w:tab w:val="left" w:pos="728"/>
        </w:tabs>
        <w:ind w:leftChars="200"/>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1.</w:t>
      </w:r>
      <w:r>
        <w:rPr>
          <w:rFonts w:hint="eastAsia" w:ascii="楷体" w:hAnsi="楷体" w:eastAsia="楷体" w:cs="Calibri"/>
          <w:sz w:val="21"/>
          <w:szCs w:val="21"/>
          <w:highlight w:val="none"/>
        </w:rPr>
        <w:t>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假定投资者于T日17:00前申购10,000元本产品A份额，当日申购并受理，受理当日产品单位净值为1.000100，投资者份额于T+1日确认。</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投资者确认份额=10,000/1.000100=9,999.00（份）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客户份额持有180天内不可赎回，假设持有期满180日后客户发起赎回，投资者赎回时根据受理日单位净值兑付，为1.025000，折合年化收益率5.05%。</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投资者应得赎回资金＝9,999.00*1.</w:t>
      </w:r>
      <w:r>
        <w:rPr>
          <w:rFonts w:hint="eastAsia" w:ascii="楷体" w:hAnsi="楷体" w:eastAsia="楷体"/>
          <w:sz w:val="21"/>
          <w:szCs w:val="21"/>
          <w:highlight w:val="none"/>
          <w:lang w:val="en-US" w:eastAsia="zh-CN"/>
        </w:rPr>
        <w:t>025000=10248.98</w:t>
      </w:r>
      <w:r>
        <w:rPr>
          <w:rFonts w:hint="eastAsia" w:ascii="楷体" w:hAnsi="楷体" w:eastAsia="楷体"/>
          <w:sz w:val="21"/>
          <w:szCs w:val="21"/>
          <w:highlight w:val="none"/>
        </w:rPr>
        <w:t>元</w:t>
      </w:r>
    </w:p>
    <w:p>
      <w:pPr>
        <w:ind w:firstLine="420" w:firstLineChars="200"/>
        <w:rPr>
          <w:rFonts w:hint="eastAsia"/>
        </w:rPr>
      </w:pPr>
      <w:r>
        <w:rPr>
          <w:rFonts w:hint="eastAsia" w:ascii="楷体" w:hAnsi="楷体" w:eastAsia="楷体"/>
          <w:sz w:val="21"/>
          <w:szCs w:val="21"/>
          <w:highlight w:val="none"/>
        </w:rPr>
        <w:t>投资者投资收益＝</w:t>
      </w:r>
      <w:r>
        <w:rPr>
          <w:rFonts w:hint="eastAsia" w:ascii="楷体" w:hAnsi="楷体" w:eastAsia="楷体"/>
          <w:sz w:val="21"/>
          <w:szCs w:val="21"/>
          <w:highlight w:val="none"/>
          <w:lang w:val="en-US" w:eastAsia="zh-CN"/>
        </w:rPr>
        <w:t>10248.98-</w:t>
      </w:r>
      <w:r>
        <w:rPr>
          <w:rFonts w:hint="eastAsia" w:ascii="楷体" w:hAnsi="楷体" w:eastAsia="楷体"/>
          <w:sz w:val="21"/>
          <w:szCs w:val="21"/>
          <w:highlight w:val="none"/>
        </w:rPr>
        <w:t>10,000＝</w:t>
      </w:r>
      <w:r>
        <w:rPr>
          <w:rFonts w:hint="eastAsia" w:ascii="楷体" w:hAnsi="楷体" w:eastAsia="楷体"/>
          <w:sz w:val="21"/>
          <w:szCs w:val="21"/>
          <w:highlight w:val="none"/>
          <w:lang w:val="en-US" w:eastAsia="zh-CN"/>
        </w:rPr>
        <w:t>248.98</w:t>
      </w:r>
      <w:r>
        <w:rPr>
          <w:rFonts w:hint="eastAsia" w:ascii="楷体" w:hAnsi="楷体" w:eastAsia="楷体"/>
          <w:sz w:val="21"/>
          <w:szCs w:val="21"/>
          <w:highlight w:val="none"/>
        </w:rPr>
        <w:t>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假定投资者于T日17:00前申购10,000元本产品A份额，当日申购并受理，受理当日产品单位净值为1.000100，投资者份额于T+1日确认。</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投资者确认份额=10,000/1.000100=9,999.00（份）</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客户份额持有180天内不可赎回，假设持有期满180日后客户发起赎回，投资者赎回时根据受理日单位净值兑付，为0.997500，客户实际亏损，管理人无超额业绩报酬。</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投资者应得赎回资金＝9,999.00*0.997500＝9,974.00元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投资者投资收益=9,974.00-10,000=-26.00元</w:t>
      </w:r>
    </w:p>
    <w:p>
      <w:pPr>
        <w:ind w:firstLine="369" w:firstLineChars="176"/>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w:t>
      </w:r>
      <w:r>
        <w:rPr>
          <w:rFonts w:hint="eastAsia" w:ascii="楷体" w:hAnsi="楷体" w:eastAsia="楷体"/>
          <w:sz w:val="21"/>
          <w:szCs w:val="21"/>
          <w:highlight w:val="none"/>
          <w:lang w:val="en-US" w:eastAsia="zh-CN"/>
        </w:rPr>
        <w:t>26.00</w:t>
      </w:r>
      <w:r>
        <w:rPr>
          <w:rFonts w:hint="eastAsia" w:ascii="楷体" w:hAnsi="楷体" w:eastAsia="楷体"/>
          <w:sz w:val="21"/>
          <w:szCs w:val="21"/>
          <w:highlight w:val="none"/>
        </w:rPr>
        <w:t>元，</w:t>
      </w:r>
      <w:r>
        <w:rPr>
          <w:rFonts w:hint="eastAsia" w:ascii="楷体" w:hAnsi="楷体" w:eastAsia="楷体"/>
          <w:b/>
          <w:sz w:val="21"/>
          <w:szCs w:val="21"/>
          <w:highlight w:val="none"/>
          <w:u w:val="single"/>
        </w:rPr>
        <w:t>最不利的情形下，投资者可能损失100%本金。</w:t>
      </w:r>
    </w:p>
    <w:p>
      <w:pPr>
        <w:ind w:firstLine="373" w:firstLineChars="177"/>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numPr>
          <w:ilvl w:val="0"/>
          <w:numId w:val="0"/>
        </w:numPr>
        <w:ind w:left="0" w:firstLine="420" w:firstLineChars="200"/>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ind w:firstLine="420" w:firstLineChars="200"/>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4"/>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4"/>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ind w:firstLine="420" w:firstLineChars="200"/>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numPr>
          <w:ilvl w:val="0"/>
          <w:numId w:val="0"/>
        </w:numPr>
        <w:ind w:left="0" w:firstLine="420" w:firstLineChars="200"/>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ind w:firstLine="420" w:firstLineChars="200"/>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18"/>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autoSpaceDE w:val="0"/>
        <w:autoSpaceDN w:val="0"/>
        <w:adjustRightInd w:val="0"/>
        <w:ind w:firstLine="420" w:firstLineChars="200"/>
        <w:rPr>
          <w:rFonts w:hint="eastAsia"/>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2">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4">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5">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3"/>
  </w:num>
  <w:num w:numId="2">
    <w:abstractNumId w:val="15"/>
  </w:num>
  <w:num w:numId="3">
    <w:abstractNumId w:val="3"/>
  </w:num>
  <w:num w:numId="4">
    <w:abstractNumId w:val="2"/>
  </w:num>
  <w:num w:numId="5">
    <w:abstractNumId w:val="8"/>
  </w:num>
  <w:num w:numId="6">
    <w:abstractNumId w:val="4"/>
  </w:num>
  <w:num w:numId="7">
    <w:abstractNumId w:val="14"/>
  </w:num>
  <w:num w:numId="8">
    <w:abstractNumId w:val="16"/>
  </w:num>
  <w:num w:numId="9">
    <w:abstractNumId w:val="7"/>
  </w:num>
  <w:num w:numId="10">
    <w:abstractNumId w:val="10"/>
  </w:num>
  <w:num w:numId="11">
    <w:abstractNumId w:val="9"/>
  </w:num>
  <w:num w:numId="12">
    <w:abstractNumId w:val="0"/>
  </w:num>
  <w:num w:numId="13">
    <w:abstractNumId w:val="17"/>
  </w:num>
  <w:num w:numId="14">
    <w:abstractNumId w:val="11"/>
  </w:num>
  <w:num w:numId="15">
    <w:abstractNumId w:val="1"/>
  </w:num>
  <w:num w:numId="16">
    <w:abstractNumId w:val="12"/>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0F4"/>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98569C"/>
    <w:rsid w:val="019F51E5"/>
    <w:rsid w:val="01A77CA2"/>
    <w:rsid w:val="01C97D90"/>
    <w:rsid w:val="01EE2233"/>
    <w:rsid w:val="02370032"/>
    <w:rsid w:val="023855D8"/>
    <w:rsid w:val="02DB608D"/>
    <w:rsid w:val="03105E9A"/>
    <w:rsid w:val="0382186E"/>
    <w:rsid w:val="03A01483"/>
    <w:rsid w:val="03B67C76"/>
    <w:rsid w:val="040D1E70"/>
    <w:rsid w:val="04611584"/>
    <w:rsid w:val="0468560A"/>
    <w:rsid w:val="04717FC7"/>
    <w:rsid w:val="047C4C14"/>
    <w:rsid w:val="04856793"/>
    <w:rsid w:val="04A113A5"/>
    <w:rsid w:val="050D76F3"/>
    <w:rsid w:val="054C3958"/>
    <w:rsid w:val="05551886"/>
    <w:rsid w:val="05671C39"/>
    <w:rsid w:val="05BA574D"/>
    <w:rsid w:val="05BF7FAC"/>
    <w:rsid w:val="05F67880"/>
    <w:rsid w:val="05F8593C"/>
    <w:rsid w:val="06475819"/>
    <w:rsid w:val="06B37FBE"/>
    <w:rsid w:val="06D95094"/>
    <w:rsid w:val="06E22BD9"/>
    <w:rsid w:val="06E32567"/>
    <w:rsid w:val="0744506D"/>
    <w:rsid w:val="074C0E53"/>
    <w:rsid w:val="074D2DE5"/>
    <w:rsid w:val="07727FC2"/>
    <w:rsid w:val="07967B0A"/>
    <w:rsid w:val="07BF4B46"/>
    <w:rsid w:val="080F13F6"/>
    <w:rsid w:val="08B84CBC"/>
    <w:rsid w:val="08C21DEA"/>
    <w:rsid w:val="091478EF"/>
    <w:rsid w:val="09207FBB"/>
    <w:rsid w:val="09223CD6"/>
    <w:rsid w:val="0934265E"/>
    <w:rsid w:val="098B2CC4"/>
    <w:rsid w:val="09B40137"/>
    <w:rsid w:val="09C40713"/>
    <w:rsid w:val="09D91BF4"/>
    <w:rsid w:val="09E06F1A"/>
    <w:rsid w:val="09E72601"/>
    <w:rsid w:val="09F90622"/>
    <w:rsid w:val="0A2873F8"/>
    <w:rsid w:val="0A2F27BA"/>
    <w:rsid w:val="0A3318C7"/>
    <w:rsid w:val="0A4F3BAF"/>
    <w:rsid w:val="0A9C5549"/>
    <w:rsid w:val="0AC220F4"/>
    <w:rsid w:val="0B020D62"/>
    <w:rsid w:val="0B1D5C65"/>
    <w:rsid w:val="0B763E01"/>
    <w:rsid w:val="0BE114CF"/>
    <w:rsid w:val="0C1131D8"/>
    <w:rsid w:val="0C1B7B77"/>
    <w:rsid w:val="0C1E34E1"/>
    <w:rsid w:val="0D05675C"/>
    <w:rsid w:val="0D0608AB"/>
    <w:rsid w:val="0D083FB4"/>
    <w:rsid w:val="0D1F25C2"/>
    <w:rsid w:val="0D363097"/>
    <w:rsid w:val="0D4039CF"/>
    <w:rsid w:val="0D921D8F"/>
    <w:rsid w:val="0E954E7E"/>
    <w:rsid w:val="0EA844B9"/>
    <w:rsid w:val="0EF07295"/>
    <w:rsid w:val="0EF10C13"/>
    <w:rsid w:val="0EF64483"/>
    <w:rsid w:val="0F116B5A"/>
    <w:rsid w:val="0F6264A7"/>
    <w:rsid w:val="0F9223FC"/>
    <w:rsid w:val="0FAB68C5"/>
    <w:rsid w:val="0FB020F3"/>
    <w:rsid w:val="0FE81E2C"/>
    <w:rsid w:val="0FF93BD4"/>
    <w:rsid w:val="10BA7A9A"/>
    <w:rsid w:val="10E55ACF"/>
    <w:rsid w:val="111A451D"/>
    <w:rsid w:val="11436E75"/>
    <w:rsid w:val="11BE722A"/>
    <w:rsid w:val="11D348F2"/>
    <w:rsid w:val="11D673FE"/>
    <w:rsid w:val="11F030D8"/>
    <w:rsid w:val="121E0F6C"/>
    <w:rsid w:val="123C273A"/>
    <w:rsid w:val="125C1586"/>
    <w:rsid w:val="132D0579"/>
    <w:rsid w:val="13B360A9"/>
    <w:rsid w:val="14206758"/>
    <w:rsid w:val="14264F69"/>
    <w:rsid w:val="14313109"/>
    <w:rsid w:val="14663C85"/>
    <w:rsid w:val="148A2BC7"/>
    <w:rsid w:val="14B24220"/>
    <w:rsid w:val="150E3EA3"/>
    <w:rsid w:val="15392139"/>
    <w:rsid w:val="156051A2"/>
    <w:rsid w:val="15652DAA"/>
    <w:rsid w:val="158A2D44"/>
    <w:rsid w:val="15922776"/>
    <w:rsid w:val="16066587"/>
    <w:rsid w:val="16122E84"/>
    <w:rsid w:val="167875EF"/>
    <w:rsid w:val="16980A2A"/>
    <w:rsid w:val="16BD7A09"/>
    <w:rsid w:val="16FD38E6"/>
    <w:rsid w:val="172134D1"/>
    <w:rsid w:val="17316275"/>
    <w:rsid w:val="17715B75"/>
    <w:rsid w:val="179E4EFF"/>
    <w:rsid w:val="17C1658D"/>
    <w:rsid w:val="17DD256D"/>
    <w:rsid w:val="18207EC8"/>
    <w:rsid w:val="18572461"/>
    <w:rsid w:val="186D2598"/>
    <w:rsid w:val="18F10E12"/>
    <w:rsid w:val="19002698"/>
    <w:rsid w:val="1926420A"/>
    <w:rsid w:val="192E66E1"/>
    <w:rsid w:val="199A63DD"/>
    <w:rsid w:val="19DB6462"/>
    <w:rsid w:val="1A271363"/>
    <w:rsid w:val="1A881510"/>
    <w:rsid w:val="1AFA76DA"/>
    <w:rsid w:val="1B0F329D"/>
    <w:rsid w:val="1B1A5867"/>
    <w:rsid w:val="1B382C72"/>
    <w:rsid w:val="1B4755B0"/>
    <w:rsid w:val="1B6B6134"/>
    <w:rsid w:val="1BA32D12"/>
    <w:rsid w:val="1BAC0B6B"/>
    <w:rsid w:val="1BB446B9"/>
    <w:rsid w:val="1BE86387"/>
    <w:rsid w:val="1C0A3092"/>
    <w:rsid w:val="1C4B016F"/>
    <w:rsid w:val="1C80443B"/>
    <w:rsid w:val="1CA90AAF"/>
    <w:rsid w:val="1CB369A2"/>
    <w:rsid w:val="1D8420C5"/>
    <w:rsid w:val="1DF77AA7"/>
    <w:rsid w:val="1E146797"/>
    <w:rsid w:val="1E305D33"/>
    <w:rsid w:val="1E486B0B"/>
    <w:rsid w:val="1E796393"/>
    <w:rsid w:val="1E7D5094"/>
    <w:rsid w:val="1E8B7F21"/>
    <w:rsid w:val="1E9C25E5"/>
    <w:rsid w:val="1EA2602D"/>
    <w:rsid w:val="1EB0786E"/>
    <w:rsid w:val="1F8D0609"/>
    <w:rsid w:val="1FD22D92"/>
    <w:rsid w:val="1FDC4C51"/>
    <w:rsid w:val="1FE801E9"/>
    <w:rsid w:val="1FF35E35"/>
    <w:rsid w:val="20464C58"/>
    <w:rsid w:val="205674A7"/>
    <w:rsid w:val="20667DE2"/>
    <w:rsid w:val="208A6F6A"/>
    <w:rsid w:val="20A81561"/>
    <w:rsid w:val="20BB471F"/>
    <w:rsid w:val="21405B9D"/>
    <w:rsid w:val="21530189"/>
    <w:rsid w:val="21B10A39"/>
    <w:rsid w:val="21B81C30"/>
    <w:rsid w:val="21BC739E"/>
    <w:rsid w:val="21C83ECE"/>
    <w:rsid w:val="21E464DA"/>
    <w:rsid w:val="220379D8"/>
    <w:rsid w:val="22AE7F72"/>
    <w:rsid w:val="22B32C21"/>
    <w:rsid w:val="22BB4077"/>
    <w:rsid w:val="22D075AD"/>
    <w:rsid w:val="23383A5C"/>
    <w:rsid w:val="23906366"/>
    <w:rsid w:val="23B107E7"/>
    <w:rsid w:val="23B27B4C"/>
    <w:rsid w:val="23CD3D7E"/>
    <w:rsid w:val="23DD3D37"/>
    <w:rsid w:val="23EC7071"/>
    <w:rsid w:val="24231158"/>
    <w:rsid w:val="24290AE3"/>
    <w:rsid w:val="242C3D36"/>
    <w:rsid w:val="24435E0A"/>
    <w:rsid w:val="246D6E11"/>
    <w:rsid w:val="24D71F01"/>
    <w:rsid w:val="24DC6388"/>
    <w:rsid w:val="24ED40A4"/>
    <w:rsid w:val="24FA56E8"/>
    <w:rsid w:val="2536069B"/>
    <w:rsid w:val="254F02CE"/>
    <w:rsid w:val="257504C6"/>
    <w:rsid w:val="2576592C"/>
    <w:rsid w:val="2579454A"/>
    <w:rsid w:val="25B32729"/>
    <w:rsid w:val="25CA65D2"/>
    <w:rsid w:val="26086AC6"/>
    <w:rsid w:val="26146634"/>
    <w:rsid w:val="262E4B1E"/>
    <w:rsid w:val="26490F70"/>
    <w:rsid w:val="26945630"/>
    <w:rsid w:val="26B306D1"/>
    <w:rsid w:val="26B560F4"/>
    <w:rsid w:val="26C72E54"/>
    <w:rsid w:val="2778644D"/>
    <w:rsid w:val="27832074"/>
    <w:rsid w:val="27BA6479"/>
    <w:rsid w:val="280A2F35"/>
    <w:rsid w:val="281E2AB5"/>
    <w:rsid w:val="28600DCC"/>
    <w:rsid w:val="28610A1A"/>
    <w:rsid w:val="289A6B28"/>
    <w:rsid w:val="28F04B5E"/>
    <w:rsid w:val="290723AC"/>
    <w:rsid w:val="293163E3"/>
    <w:rsid w:val="295F0B2D"/>
    <w:rsid w:val="2984116F"/>
    <w:rsid w:val="299F2D7A"/>
    <w:rsid w:val="29B34495"/>
    <w:rsid w:val="29BF2983"/>
    <w:rsid w:val="29C049B4"/>
    <w:rsid w:val="29D741B2"/>
    <w:rsid w:val="29D97CA1"/>
    <w:rsid w:val="2A0A42E6"/>
    <w:rsid w:val="2A5430F7"/>
    <w:rsid w:val="2AA67166"/>
    <w:rsid w:val="2ACB0EB9"/>
    <w:rsid w:val="2B047C41"/>
    <w:rsid w:val="2B536F21"/>
    <w:rsid w:val="2B873EF8"/>
    <w:rsid w:val="2B8C0380"/>
    <w:rsid w:val="2BA17CDC"/>
    <w:rsid w:val="2BBA1A67"/>
    <w:rsid w:val="2BCB3405"/>
    <w:rsid w:val="2BCD35E9"/>
    <w:rsid w:val="2BF40797"/>
    <w:rsid w:val="2C27608E"/>
    <w:rsid w:val="2C2E598B"/>
    <w:rsid w:val="2C3C2722"/>
    <w:rsid w:val="2C51752B"/>
    <w:rsid w:val="2CC304A9"/>
    <w:rsid w:val="2CD72E09"/>
    <w:rsid w:val="2CDC7438"/>
    <w:rsid w:val="2D2910A6"/>
    <w:rsid w:val="2D554203"/>
    <w:rsid w:val="2D6F33C4"/>
    <w:rsid w:val="2D845CE8"/>
    <w:rsid w:val="2DCE3686"/>
    <w:rsid w:val="2DD508BC"/>
    <w:rsid w:val="2DD97BC5"/>
    <w:rsid w:val="2E0F02B2"/>
    <w:rsid w:val="2E3C78F5"/>
    <w:rsid w:val="2E591811"/>
    <w:rsid w:val="2E5B7AB7"/>
    <w:rsid w:val="2E7867C9"/>
    <w:rsid w:val="2E79424B"/>
    <w:rsid w:val="2E976DAE"/>
    <w:rsid w:val="2E9F5E52"/>
    <w:rsid w:val="2ECD54C5"/>
    <w:rsid w:val="2F783D8C"/>
    <w:rsid w:val="2F9B2DEA"/>
    <w:rsid w:val="2FD7548C"/>
    <w:rsid w:val="2FE87441"/>
    <w:rsid w:val="2FF413E7"/>
    <w:rsid w:val="2FFB21C9"/>
    <w:rsid w:val="301E0463"/>
    <w:rsid w:val="303446B2"/>
    <w:rsid w:val="305D5042"/>
    <w:rsid w:val="309E3BD0"/>
    <w:rsid w:val="30E730CB"/>
    <w:rsid w:val="30F36EDD"/>
    <w:rsid w:val="30F82A10"/>
    <w:rsid w:val="31054E0A"/>
    <w:rsid w:val="31146204"/>
    <w:rsid w:val="316A7FFB"/>
    <w:rsid w:val="31A207F0"/>
    <w:rsid w:val="32135324"/>
    <w:rsid w:val="32412F57"/>
    <w:rsid w:val="327F2151"/>
    <w:rsid w:val="329A7031"/>
    <w:rsid w:val="32D14593"/>
    <w:rsid w:val="33162C3D"/>
    <w:rsid w:val="335A1372"/>
    <w:rsid w:val="337C4AB9"/>
    <w:rsid w:val="33827CD3"/>
    <w:rsid w:val="3387008D"/>
    <w:rsid w:val="33A806D0"/>
    <w:rsid w:val="33BB24DA"/>
    <w:rsid w:val="33CB64C0"/>
    <w:rsid w:val="33E712BD"/>
    <w:rsid w:val="33F93952"/>
    <w:rsid w:val="33FA3A87"/>
    <w:rsid w:val="33FC0085"/>
    <w:rsid w:val="34221E92"/>
    <w:rsid w:val="34591CB0"/>
    <w:rsid w:val="346202B8"/>
    <w:rsid w:val="34766305"/>
    <w:rsid w:val="34E31682"/>
    <w:rsid w:val="34EA1CA9"/>
    <w:rsid w:val="35323CCC"/>
    <w:rsid w:val="356C4F47"/>
    <w:rsid w:val="359B21D9"/>
    <w:rsid w:val="36066BAA"/>
    <w:rsid w:val="360B4637"/>
    <w:rsid w:val="362D57BE"/>
    <w:rsid w:val="36476733"/>
    <w:rsid w:val="36574750"/>
    <w:rsid w:val="36975CF7"/>
    <w:rsid w:val="36E800CE"/>
    <w:rsid w:val="37215F74"/>
    <w:rsid w:val="3725522E"/>
    <w:rsid w:val="374F753C"/>
    <w:rsid w:val="375458D3"/>
    <w:rsid w:val="377266E1"/>
    <w:rsid w:val="37CD046D"/>
    <w:rsid w:val="37FC2E67"/>
    <w:rsid w:val="38170738"/>
    <w:rsid w:val="38247DFB"/>
    <w:rsid w:val="384211BB"/>
    <w:rsid w:val="386716FF"/>
    <w:rsid w:val="387B55F6"/>
    <w:rsid w:val="389272E0"/>
    <w:rsid w:val="38B35778"/>
    <w:rsid w:val="38BB5007"/>
    <w:rsid w:val="38CB2E2A"/>
    <w:rsid w:val="38CC32A3"/>
    <w:rsid w:val="38FB7279"/>
    <w:rsid w:val="39006B4A"/>
    <w:rsid w:val="392D2653"/>
    <w:rsid w:val="39386D6D"/>
    <w:rsid w:val="39424B74"/>
    <w:rsid w:val="395F051D"/>
    <w:rsid w:val="39E470D7"/>
    <w:rsid w:val="39E954BD"/>
    <w:rsid w:val="3A2D4EE5"/>
    <w:rsid w:val="3A766678"/>
    <w:rsid w:val="3A7A287E"/>
    <w:rsid w:val="3A806962"/>
    <w:rsid w:val="3AA32BD7"/>
    <w:rsid w:val="3ACF690F"/>
    <w:rsid w:val="3AD372F6"/>
    <w:rsid w:val="3AE21C51"/>
    <w:rsid w:val="3AEA1FB6"/>
    <w:rsid w:val="3BA373A8"/>
    <w:rsid w:val="3BB93A61"/>
    <w:rsid w:val="3BBA39C2"/>
    <w:rsid w:val="3BDF59BB"/>
    <w:rsid w:val="3BEF200B"/>
    <w:rsid w:val="3C09602C"/>
    <w:rsid w:val="3C287D1B"/>
    <w:rsid w:val="3C5500C5"/>
    <w:rsid w:val="3C5916E2"/>
    <w:rsid w:val="3C893E03"/>
    <w:rsid w:val="3C9153BA"/>
    <w:rsid w:val="3CBE5BE4"/>
    <w:rsid w:val="3CBF66BA"/>
    <w:rsid w:val="3CD44BD2"/>
    <w:rsid w:val="3D326D7A"/>
    <w:rsid w:val="3D3C3272"/>
    <w:rsid w:val="3D5E22F7"/>
    <w:rsid w:val="3DB52847"/>
    <w:rsid w:val="3DB73ABE"/>
    <w:rsid w:val="3DEA1701"/>
    <w:rsid w:val="3DEC0025"/>
    <w:rsid w:val="3DEC0B66"/>
    <w:rsid w:val="3E0848FF"/>
    <w:rsid w:val="3E0F3349"/>
    <w:rsid w:val="3E0F6C00"/>
    <w:rsid w:val="3E167EC8"/>
    <w:rsid w:val="3E177435"/>
    <w:rsid w:val="3E2B5513"/>
    <w:rsid w:val="3E3736AD"/>
    <w:rsid w:val="3E5A3EDC"/>
    <w:rsid w:val="3EE46F49"/>
    <w:rsid w:val="3EF66D45"/>
    <w:rsid w:val="3F0739FF"/>
    <w:rsid w:val="3F60143E"/>
    <w:rsid w:val="400C38A3"/>
    <w:rsid w:val="40107C47"/>
    <w:rsid w:val="40657668"/>
    <w:rsid w:val="409B67FE"/>
    <w:rsid w:val="409C0254"/>
    <w:rsid w:val="40C6411E"/>
    <w:rsid w:val="410A2F24"/>
    <w:rsid w:val="41251352"/>
    <w:rsid w:val="41C602F5"/>
    <w:rsid w:val="41C85FE0"/>
    <w:rsid w:val="41D8462D"/>
    <w:rsid w:val="42381F0B"/>
    <w:rsid w:val="4247207A"/>
    <w:rsid w:val="4260438F"/>
    <w:rsid w:val="427B7FC1"/>
    <w:rsid w:val="427D0A83"/>
    <w:rsid w:val="42B84786"/>
    <w:rsid w:val="42C81F25"/>
    <w:rsid w:val="430E0591"/>
    <w:rsid w:val="43812C74"/>
    <w:rsid w:val="43831666"/>
    <w:rsid w:val="438F038F"/>
    <w:rsid w:val="43A74BCB"/>
    <w:rsid w:val="43E73B41"/>
    <w:rsid w:val="43ED4DDE"/>
    <w:rsid w:val="43EE32E6"/>
    <w:rsid w:val="43F93346"/>
    <w:rsid w:val="444A10E0"/>
    <w:rsid w:val="444D487C"/>
    <w:rsid w:val="445517BA"/>
    <w:rsid w:val="450131E5"/>
    <w:rsid w:val="451942DD"/>
    <w:rsid w:val="45236551"/>
    <w:rsid w:val="452573B0"/>
    <w:rsid w:val="4531446C"/>
    <w:rsid w:val="45A32BCF"/>
    <w:rsid w:val="45A44DCD"/>
    <w:rsid w:val="45B05AD1"/>
    <w:rsid w:val="45DE30FC"/>
    <w:rsid w:val="45E03C8D"/>
    <w:rsid w:val="46064560"/>
    <w:rsid w:val="462E5EEB"/>
    <w:rsid w:val="4646145F"/>
    <w:rsid w:val="46503A49"/>
    <w:rsid w:val="46613824"/>
    <w:rsid w:val="466325D2"/>
    <w:rsid w:val="468D378C"/>
    <w:rsid w:val="46A26BC0"/>
    <w:rsid w:val="472D4CF6"/>
    <w:rsid w:val="476A3C1A"/>
    <w:rsid w:val="4770302A"/>
    <w:rsid w:val="47740445"/>
    <w:rsid w:val="47C0041A"/>
    <w:rsid w:val="47D45C9A"/>
    <w:rsid w:val="47E94B05"/>
    <w:rsid w:val="47F36945"/>
    <w:rsid w:val="47F63440"/>
    <w:rsid w:val="484740A8"/>
    <w:rsid w:val="48734BE1"/>
    <w:rsid w:val="487D3F41"/>
    <w:rsid w:val="48A87B94"/>
    <w:rsid w:val="48CA60B4"/>
    <w:rsid w:val="48EC13B2"/>
    <w:rsid w:val="48F26E1F"/>
    <w:rsid w:val="48FF1AD9"/>
    <w:rsid w:val="49561C1C"/>
    <w:rsid w:val="495A5F98"/>
    <w:rsid w:val="49796A18"/>
    <w:rsid w:val="497A2F9B"/>
    <w:rsid w:val="49D822B4"/>
    <w:rsid w:val="49DA6DFC"/>
    <w:rsid w:val="49DE36B2"/>
    <w:rsid w:val="4A1A78ED"/>
    <w:rsid w:val="4A2D4D4F"/>
    <w:rsid w:val="4A917848"/>
    <w:rsid w:val="4AAA0106"/>
    <w:rsid w:val="4AB1581B"/>
    <w:rsid w:val="4ACC6BB3"/>
    <w:rsid w:val="4ACD77C9"/>
    <w:rsid w:val="4AF26284"/>
    <w:rsid w:val="4B1D5AB5"/>
    <w:rsid w:val="4BEA3E95"/>
    <w:rsid w:val="4C00513D"/>
    <w:rsid w:val="4C025383"/>
    <w:rsid w:val="4C0435AC"/>
    <w:rsid w:val="4C426A60"/>
    <w:rsid w:val="4C4F7949"/>
    <w:rsid w:val="4C875326"/>
    <w:rsid w:val="4C88415F"/>
    <w:rsid w:val="4C892DD7"/>
    <w:rsid w:val="4C992DAF"/>
    <w:rsid w:val="4C9B567F"/>
    <w:rsid w:val="4CC1157E"/>
    <w:rsid w:val="4CD90D2F"/>
    <w:rsid w:val="4D9200E8"/>
    <w:rsid w:val="4D95683A"/>
    <w:rsid w:val="4DA6150B"/>
    <w:rsid w:val="4DBF3E19"/>
    <w:rsid w:val="4DDC2168"/>
    <w:rsid w:val="4E0C2E9B"/>
    <w:rsid w:val="4E3532F4"/>
    <w:rsid w:val="4E781A75"/>
    <w:rsid w:val="4EAC4098"/>
    <w:rsid w:val="4EE05822"/>
    <w:rsid w:val="4EF7020E"/>
    <w:rsid w:val="4F4727FE"/>
    <w:rsid w:val="4F73505B"/>
    <w:rsid w:val="4F856C7E"/>
    <w:rsid w:val="4F8C5E9D"/>
    <w:rsid w:val="4FCE2830"/>
    <w:rsid w:val="4FD47FCA"/>
    <w:rsid w:val="50025A88"/>
    <w:rsid w:val="504C026E"/>
    <w:rsid w:val="506A0CDB"/>
    <w:rsid w:val="507A5BD7"/>
    <w:rsid w:val="509A584B"/>
    <w:rsid w:val="50A61790"/>
    <w:rsid w:val="50B61FEE"/>
    <w:rsid w:val="50BA2C10"/>
    <w:rsid w:val="50BE4C74"/>
    <w:rsid w:val="50CB7791"/>
    <w:rsid w:val="50E53426"/>
    <w:rsid w:val="511542C8"/>
    <w:rsid w:val="51267C4C"/>
    <w:rsid w:val="513E0CC7"/>
    <w:rsid w:val="51AA5AFB"/>
    <w:rsid w:val="51BC27B0"/>
    <w:rsid w:val="51DC754F"/>
    <w:rsid w:val="522E7E35"/>
    <w:rsid w:val="522F1165"/>
    <w:rsid w:val="524312B9"/>
    <w:rsid w:val="5260139D"/>
    <w:rsid w:val="526A60C9"/>
    <w:rsid w:val="52A6080A"/>
    <w:rsid w:val="52DE3525"/>
    <w:rsid w:val="52F37A7E"/>
    <w:rsid w:val="532605FE"/>
    <w:rsid w:val="534013D3"/>
    <w:rsid w:val="537B2198"/>
    <w:rsid w:val="53982CB5"/>
    <w:rsid w:val="53C1594C"/>
    <w:rsid w:val="541B7A0B"/>
    <w:rsid w:val="5469336C"/>
    <w:rsid w:val="5479567D"/>
    <w:rsid w:val="54983006"/>
    <w:rsid w:val="54CD26DC"/>
    <w:rsid w:val="55100F3D"/>
    <w:rsid w:val="5521466C"/>
    <w:rsid w:val="553C3366"/>
    <w:rsid w:val="55732CF6"/>
    <w:rsid w:val="55A92695"/>
    <w:rsid w:val="560D3B4E"/>
    <w:rsid w:val="564B1F53"/>
    <w:rsid w:val="564D66AA"/>
    <w:rsid w:val="56B21768"/>
    <w:rsid w:val="56E94652"/>
    <w:rsid w:val="57030BD5"/>
    <w:rsid w:val="576176AA"/>
    <w:rsid w:val="57645A2E"/>
    <w:rsid w:val="57762E8E"/>
    <w:rsid w:val="578B3880"/>
    <w:rsid w:val="57C434B7"/>
    <w:rsid w:val="57CA1416"/>
    <w:rsid w:val="57E84B4C"/>
    <w:rsid w:val="586F66D6"/>
    <w:rsid w:val="58742C84"/>
    <w:rsid w:val="58A65354"/>
    <w:rsid w:val="58C55ADB"/>
    <w:rsid w:val="58C8623B"/>
    <w:rsid w:val="591536C1"/>
    <w:rsid w:val="597634BC"/>
    <w:rsid w:val="5A1769F2"/>
    <w:rsid w:val="5A79179C"/>
    <w:rsid w:val="5A7D380F"/>
    <w:rsid w:val="5AB86FE7"/>
    <w:rsid w:val="5AC66451"/>
    <w:rsid w:val="5ACC69B8"/>
    <w:rsid w:val="5AD173B5"/>
    <w:rsid w:val="5AF36658"/>
    <w:rsid w:val="5AFE4C96"/>
    <w:rsid w:val="5B730F17"/>
    <w:rsid w:val="5B7B1236"/>
    <w:rsid w:val="5B957F1C"/>
    <w:rsid w:val="5BA11BE8"/>
    <w:rsid w:val="5BB43102"/>
    <w:rsid w:val="5BBB130B"/>
    <w:rsid w:val="5BD55C6A"/>
    <w:rsid w:val="5C1E2AAE"/>
    <w:rsid w:val="5C744E01"/>
    <w:rsid w:val="5CD535D0"/>
    <w:rsid w:val="5CD652DB"/>
    <w:rsid w:val="5CEE06DF"/>
    <w:rsid w:val="5CF8187F"/>
    <w:rsid w:val="5D063D96"/>
    <w:rsid w:val="5D5D0C42"/>
    <w:rsid w:val="5DA62130"/>
    <w:rsid w:val="5DAF2A40"/>
    <w:rsid w:val="5DEA0B28"/>
    <w:rsid w:val="5E187442"/>
    <w:rsid w:val="5E443BCE"/>
    <w:rsid w:val="5E6214C3"/>
    <w:rsid w:val="5E674F7A"/>
    <w:rsid w:val="5E714CB3"/>
    <w:rsid w:val="5E791178"/>
    <w:rsid w:val="5EAF150A"/>
    <w:rsid w:val="5FA84DEE"/>
    <w:rsid w:val="5FB44AA0"/>
    <w:rsid w:val="600D28FE"/>
    <w:rsid w:val="60437FB3"/>
    <w:rsid w:val="60642034"/>
    <w:rsid w:val="60733F65"/>
    <w:rsid w:val="607D18D9"/>
    <w:rsid w:val="607F0290"/>
    <w:rsid w:val="60BB71C0"/>
    <w:rsid w:val="60F802B5"/>
    <w:rsid w:val="610D745B"/>
    <w:rsid w:val="612620F2"/>
    <w:rsid w:val="61396955"/>
    <w:rsid w:val="61494699"/>
    <w:rsid w:val="61A93DCC"/>
    <w:rsid w:val="61B53912"/>
    <w:rsid w:val="61EE6E14"/>
    <w:rsid w:val="61F93E33"/>
    <w:rsid w:val="62030149"/>
    <w:rsid w:val="623A2FE4"/>
    <w:rsid w:val="623B2665"/>
    <w:rsid w:val="623B6840"/>
    <w:rsid w:val="62425DF2"/>
    <w:rsid w:val="62731D94"/>
    <w:rsid w:val="629946DD"/>
    <w:rsid w:val="62BE22D8"/>
    <w:rsid w:val="62C06CBF"/>
    <w:rsid w:val="62C4244E"/>
    <w:rsid w:val="62E21E31"/>
    <w:rsid w:val="632415B7"/>
    <w:rsid w:val="63433210"/>
    <w:rsid w:val="63ED5D7D"/>
    <w:rsid w:val="63F31931"/>
    <w:rsid w:val="63FB5B09"/>
    <w:rsid w:val="64A01153"/>
    <w:rsid w:val="64AA5A0F"/>
    <w:rsid w:val="65145F61"/>
    <w:rsid w:val="652F62B2"/>
    <w:rsid w:val="65314CDC"/>
    <w:rsid w:val="65834E5D"/>
    <w:rsid w:val="65C73CC9"/>
    <w:rsid w:val="65EF28CF"/>
    <w:rsid w:val="660261FB"/>
    <w:rsid w:val="66661AB5"/>
    <w:rsid w:val="66CB3339"/>
    <w:rsid w:val="6701538B"/>
    <w:rsid w:val="674C3C22"/>
    <w:rsid w:val="6767609D"/>
    <w:rsid w:val="67815161"/>
    <w:rsid w:val="679C2A4F"/>
    <w:rsid w:val="67B4299D"/>
    <w:rsid w:val="67BF75F1"/>
    <w:rsid w:val="685B2144"/>
    <w:rsid w:val="68926CF0"/>
    <w:rsid w:val="689C7DC4"/>
    <w:rsid w:val="68BD4138"/>
    <w:rsid w:val="69253E50"/>
    <w:rsid w:val="69367DF4"/>
    <w:rsid w:val="695F2CF2"/>
    <w:rsid w:val="697111FB"/>
    <w:rsid w:val="69771617"/>
    <w:rsid w:val="69B226F6"/>
    <w:rsid w:val="69C95392"/>
    <w:rsid w:val="69E74FC7"/>
    <w:rsid w:val="69EF255B"/>
    <w:rsid w:val="6A061A21"/>
    <w:rsid w:val="6A691709"/>
    <w:rsid w:val="6A8F179C"/>
    <w:rsid w:val="6AD91623"/>
    <w:rsid w:val="6AF7208C"/>
    <w:rsid w:val="6B2D5466"/>
    <w:rsid w:val="6B3D672B"/>
    <w:rsid w:val="6B540EFE"/>
    <w:rsid w:val="6B7B4240"/>
    <w:rsid w:val="6B9A4A30"/>
    <w:rsid w:val="6BE95A5E"/>
    <w:rsid w:val="6C256C69"/>
    <w:rsid w:val="6C3D7821"/>
    <w:rsid w:val="6C3F2A33"/>
    <w:rsid w:val="6C9D2124"/>
    <w:rsid w:val="6CC23729"/>
    <w:rsid w:val="6CC64B8A"/>
    <w:rsid w:val="6D0A5A49"/>
    <w:rsid w:val="6D1850BC"/>
    <w:rsid w:val="6D3B484F"/>
    <w:rsid w:val="6D4908D6"/>
    <w:rsid w:val="6DDC1DC1"/>
    <w:rsid w:val="6E5F3E90"/>
    <w:rsid w:val="6E794BCD"/>
    <w:rsid w:val="6EF80849"/>
    <w:rsid w:val="6EFB4DCB"/>
    <w:rsid w:val="6F27077B"/>
    <w:rsid w:val="6F594D6F"/>
    <w:rsid w:val="6F7121F2"/>
    <w:rsid w:val="6F9D0191"/>
    <w:rsid w:val="6FBA3F1E"/>
    <w:rsid w:val="70932BCA"/>
    <w:rsid w:val="70B0102E"/>
    <w:rsid w:val="70C32DB5"/>
    <w:rsid w:val="710B0B0B"/>
    <w:rsid w:val="712C7DC8"/>
    <w:rsid w:val="715D0235"/>
    <w:rsid w:val="71E5266B"/>
    <w:rsid w:val="71F50096"/>
    <w:rsid w:val="72061303"/>
    <w:rsid w:val="723F5D8C"/>
    <w:rsid w:val="7265643D"/>
    <w:rsid w:val="72ED674C"/>
    <w:rsid w:val="730E5927"/>
    <w:rsid w:val="731D3349"/>
    <w:rsid w:val="732F6C8F"/>
    <w:rsid w:val="73352933"/>
    <w:rsid w:val="73607959"/>
    <w:rsid w:val="73777ED7"/>
    <w:rsid w:val="738058E6"/>
    <w:rsid w:val="73A90ADD"/>
    <w:rsid w:val="73AF3723"/>
    <w:rsid w:val="73B16F51"/>
    <w:rsid w:val="73E8789D"/>
    <w:rsid w:val="740238DF"/>
    <w:rsid w:val="74163E96"/>
    <w:rsid w:val="74304C66"/>
    <w:rsid w:val="74501460"/>
    <w:rsid w:val="745B3729"/>
    <w:rsid w:val="747E452E"/>
    <w:rsid w:val="74B10200"/>
    <w:rsid w:val="74C2049A"/>
    <w:rsid w:val="74E853F8"/>
    <w:rsid w:val="75055A8C"/>
    <w:rsid w:val="75347801"/>
    <w:rsid w:val="753D0A8A"/>
    <w:rsid w:val="75DF62EF"/>
    <w:rsid w:val="75E82BF4"/>
    <w:rsid w:val="75FC15F6"/>
    <w:rsid w:val="763428FA"/>
    <w:rsid w:val="769A1F19"/>
    <w:rsid w:val="76AB59C6"/>
    <w:rsid w:val="76BA3D28"/>
    <w:rsid w:val="76D0644A"/>
    <w:rsid w:val="76D8067A"/>
    <w:rsid w:val="76F57F2D"/>
    <w:rsid w:val="778B1DFE"/>
    <w:rsid w:val="77A67671"/>
    <w:rsid w:val="77EF5945"/>
    <w:rsid w:val="781E3C67"/>
    <w:rsid w:val="78477109"/>
    <w:rsid w:val="785617B5"/>
    <w:rsid w:val="785B66B6"/>
    <w:rsid w:val="785D6E29"/>
    <w:rsid w:val="78715A71"/>
    <w:rsid w:val="789A158E"/>
    <w:rsid w:val="79176484"/>
    <w:rsid w:val="7923202E"/>
    <w:rsid w:val="79EC64F6"/>
    <w:rsid w:val="7A48271D"/>
    <w:rsid w:val="7A5B6AA6"/>
    <w:rsid w:val="7B042830"/>
    <w:rsid w:val="7B101B78"/>
    <w:rsid w:val="7B3479E1"/>
    <w:rsid w:val="7B36534B"/>
    <w:rsid w:val="7BAD2677"/>
    <w:rsid w:val="7BD060AF"/>
    <w:rsid w:val="7BD2370A"/>
    <w:rsid w:val="7BE42039"/>
    <w:rsid w:val="7C086264"/>
    <w:rsid w:val="7C5F755C"/>
    <w:rsid w:val="7C7278F9"/>
    <w:rsid w:val="7CC17885"/>
    <w:rsid w:val="7CC25006"/>
    <w:rsid w:val="7CC5559B"/>
    <w:rsid w:val="7D3038A0"/>
    <w:rsid w:val="7D3E77E5"/>
    <w:rsid w:val="7D6971CA"/>
    <w:rsid w:val="7DF37B69"/>
    <w:rsid w:val="7E2754D8"/>
    <w:rsid w:val="7E386003"/>
    <w:rsid w:val="7E7913CA"/>
    <w:rsid w:val="7E836A29"/>
    <w:rsid w:val="7EA5622C"/>
    <w:rsid w:val="7EAE0A66"/>
    <w:rsid w:val="7EDD453B"/>
    <w:rsid w:val="7EFB629F"/>
    <w:rsid w:val="7F461144"/>
    <w:rsid w:val="7F5E0E5D"/>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21736</Words>
  <Characters>22370</Characters>
  <Lines>235</Lines>
  <Paragraphs>66</Paragraphs>
  <TotalTime>0</TotalTime>
  <ScaleCrop>false</ScaleCrop>
  <LinksUpToDate>false</LinksUpToDate>
  <CharactersWithSpaces>22630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sylc</cp:lastModifiedBy>
  <cp:lastPrinted>2022-07-26T07:00:00Z</cp:lastPrinted>
  <dcterms:modified xsi:type="dcterms:W3CDTF">2025-11-27T11:03:00Z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018AD1035A804443BC9BF458A2F649AD</vt:lpwstr>
  </property>
</Properties>
</file>