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rPr>
      </w:pPr>
      <w:r>
        <w:rPr>
          <w:rFonts w:hint="eastAsia" w:ascii="楷体" w:hAnsi="楷体" w:eastAsia="楷体"/>
          <w:b/>
          <w:color w:val="auto"/>
          <w:sz w:val="28"/>
          <w:szCs w:val="28"/>
        </w:rPr>
        <w:t>“苏银理财</w:t>
      </w:r>
      <w:r>
        <w:rPr>
          <w:rFonts w:hint="eastAsia" w:ascii="楷体" w:hAnsi="楷体" w:eastAsia="楷体"/>
          <w:b/>
          <w:color w:val="auto"/>
          <w:sz w:val="28"/>
          <w:szCs w:val="28"/>
          <w:lang w:eastAsia="zh-CN"/>
        </w:rPr>
        <w:t>恒源鑫安最短持有45天</w:t>
      </w:r>
      <w:r>
        <w:rPr>
          <w:rFonts w:hint="eastAsia" w:ascii="楷体" w:hAnsi="楷体" w:eastAsia="楷体"/>
          <w:b/>
          <w:color w:val="auto"/>
          <w:sz w:val="28"/>
          <w:szCs w:val="28"/>
        </w:rPr>
        <w:t>”理财产品风险揭示书</w:t>
      </w:r>
    </w:p>
    <w:p>
      <w:pPr>
        <w:spacing w:line="240" w:lineRule="auto"/>
        <w:jc w:val="center"/>
        <w:rPr>
          <w:rFonts w:hint="eastAsia" w:ascii="楷体" w:hAnsi="楷体" w:eastAsia="楷体" w:cs="宋体"/>
          <w:b/>
          <w:color w:val="auto"/>
          <w:kern w:val="0"/>
          <w:sz w:val="28"/>
          <w:szCs w:val="28"/>
        </w:rPr>
      </w:pPr>
      <w:r>
        <w:rPr>
          <w:rFonts w:hint="eastAsia" w:ascii="楷体" w:hAnsi="楷体" w:eastAsia="楷体" w:cs="宋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由于理财资金在管理运用过程中可能面临多种风险因素，根据</w:t>
      </w:r>
      <w:r>
        <w:rPr>
          <w:rFonts w:hint="eastAsia" w:ascii="楷体" w:hAnsi="楷体" w:eastAsia="楷体" w:cs="Times New Roman"/>
          <w:sz w:val="21"/>
          <w:szCs w:val="21"/>
          <w:lang w:val="en-US" w:eastAsia="zh-CN"/>
        </w:rPr>
        <w:t>国家金融监督管理总局（以下简称“金融监管总局”）</w:t>
      </w:r>
      <w:r>
        <w:rPr>
          <w:rFonts w:hint="eastAsia" w:ascii="楷体" w:hAnsi="楷体" w:eastAsia="楷体" w:cs="Times New Roman"/>
          <w:color w:val="auto"/>
          <w:sz w:val="21"/>
          <w:szCs w:val="21"/>
        </w:rPr>
        <w:t>相关监管规定，苏银理财有限责任公司（以下简称“苏银理财”</w:t>
      </w:r>
      <w:r>
        <w:rPr>
          <w:rFonts w:hint="eastAsia" w:ascii="楷体" w:hAnsi="楷体" w:eastAsia="楷体" w:cs="Times New Roman"/>
          <w:color w:val="auto"/>
          <w:sz w:val="21"/>
          <w:szCs w:val="21"/>
          <w:lang w:val="en-US" w:eastAsia="zh-CN"/>
        </w:rPr>
        <w:t>或“管理人”</w:t>
      </w:r>
      <w:r>
        <w:rPr>
          <w:rFonts w:hint="eastAsia" w:ascii="楷体" w:hAnsi="楷体" w:eastAsia="楷体" w:cs="Times New Roman"/>
          <w:color w:val="auto"/>
          <w:sz w:val="21"/>
          <w:szCs w:val="21"/>
        </w:rPr>
        <w:t>）作为本理财产品的产品管理人郑重提示您：在您选择购买理财产品前，请仔细阅读本理财产品</w:t>
      </w:r>
      <w:r>
        <w:rPr>
          <w:rFonts w:hint="eastAsia" w:ascii="楷体" w:hAnsi="楷体" w:eastAsia="楷体" w:cs="Times New Roman"/>
          <w:color w:val="auto"/>
          <w:sz w:val="21"/>
          <w:szCs w:val="21"/>
          <w:lang w:val="en-US" w:eastAsia="zh-CN"/>
        </w:rPr>
        <w:t>完整销售文件</w:t>
      </w:r>
      <w:r>
        <w:rPr>
          <w:rFonts w:hint="eastAsia" w:ascii="楷体" w:hAnsi="楷体" w:eastAsia="楷体" w:cs="Times New Roman"/>
          <w:color w:val="auto"/>
          <w:sz w:val="21"/>
          <w:szCs w:val="21"/>
        </w:rPr>
        <w:t>（包括《风险揭示书》、《理财产品说明书》、</w:t>
      </w:r>
      <w:r>
        <w:rPr>
          <w:rFonts w:ascii="楷体" w:hAnsi="楷体" w:eastAsia="楷体" w:cs="Times New Roman"/>
          <w:color w:val="auto"/>
          <w:sz w:val="21"/>
          <w:szCs w:val="21"/>
        </w:rPr>
        <w:t>《</w:t>
      </w:r>
      <w:r>
        <w:rPr>
          <w:rFonts w:hint="eastAsia" w:ascii="楷体" w:hAnsi="楷体" w:eastAsia="楷体" w:cs="Times New Roman"/>
          <w:color w:val="auto"/>
          <w:sz w:val="21"/>
          <w:szCs w:val="21"/>
          <w:lang w:val="en-US" w:eastAsia="zh-CN"/>
        </w:rPr>
        <w:t>理财</w:t>
      </w:r>
      <w:r>
        <w:rPr>
          <w:rFonts w:hint="eastAsia" w:ascii="楷体" w:hAnsi="楷体" w:eastAsia="楷体" w:cs="Times New Roman"/>
          <w:color w:val="auto"/>
          <w:sz w:val="21"/>
          <w:szCs w:val="21"/>
        </w:rPr>
        <w:t>产品投资协议书</w:t>
      </w:r>
      <w:r>
        <w:rPr>
          <w:rFonts w:ascii="楷体" w:hAnsi="楷体" w:eastAsia="楷体" w:cs="Times New Roman"/>
          <w:color w:val="auto"/>
          <w:sz w:val="21"/>
          <w:szCs w:val="21"/>
        </w:rPr>
        <w:t>》</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《投资者权益须知》</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w:t>
      </w:r>
      <w:r>
        <w:rPr>
          <w:rFonts w:hint="eastAsia" w:ascii="楷体" w:hAnsi="楷体" w:eastAsia="楷体" w:cs="Times New Roman"/>
          <w:color w:val="auto"/>
          <w:sz w:val="21"/>
          <w:szCs w:val="21"/>
          <w:lang w:eastAsia="zh-CN"/>
        </w:rPr>
        <w:t>理财产品（代理）销售协议书</w:t>
      </w:r>
      <w:r>
        <w:rPr>
          <w:rFonts w:hint="eastAsia" w:ascii="楷体" w:hAnsi="楷体" w:eastAsia="楷体" w:cs="Times New Roman"/>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苏银理财作为本理财产品管理人承诺以诚实信用、勤勉尽责的原则管理和运用理财产品资产，</w:t>
      </w:r>
      <w:r>
        <w:rPr>
          <w:rFonts w:hint="eastAsia" w:ascii="楷体" w:hAnsi="楷体" w:eastAsia="楷体" w:cs="Times New Roman"/>
          <w:b/>
          <w:color w:val="auto"/>
          <w:sz w:val="21"/>
          <w:szCs w:val="21"/>
          <w:u w:val="single"/>
        </w:rPr>
        <w:t>但不保证理财产品一定盈利，也不保证最低收益，极端情况下有可能会损失部分甚至全部本金。</w:t>
      </w:r>
      <w:r>
        <w:rPr>
          <w:rFonts w:hint="eastAsia" w:ascii="楷体" w:hAnsi="楷体" w:eastAsia="楷体" w:cs="Times New Roman"/>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b/>
          <w:color w:val="auto"/>
          <w:sz w:val="24"/>
          <w:szCs w:val="24"/>
        </w:rPr>
      </w:pPr>
      <w:r>
        <w:rPr>
          <w:rFonts w:hint="eastAsia" w:ascii="楷体" w:hAnsi="楷体" w:eastAsia="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政策风险：</w:t>
      </w:r>
      <w:r>
        <w:rPr>
          <w:rFonts w:hint="eastAsia" w:ascii="楷体" w:hAnsi="楷体" w:eastAsia="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信用风险：</w:t>
      </w: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投资于各类金融</w:t>
      </w:r>
      <w:r>
        <w:rPr>
          <w:rFonts w:hint="eastAsia" w:ascii="楷体" w:hAnsi="楷体" w:eastAsia="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将按照投资实际收益情况，并以资产变现实际收到的资金为限支付投资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收益，投资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市场风险：</w:t>
      </w:r>
      <w:r>
        <w:rPr>
          <w:rFonts w:hint="eastAsia" w:ascii="楷体" w:hAnsi="楷体" w:eastAsia="楷体"/>
          <w:color w:val="auto"/>
          <w:sz w:val="21"/>
          <w:szCs w:val="21"/>
        </w:rPr>
        <w:t>本理财产品投资</w:t>
      </w:r>
      <w:r>
        <w:rPr>
          <w:rFonts w:hint="eastAsia" w:ascii="楷体" w:hAnsi="楷体" w:eastAsia="楷体"/>
          <w:color w:val="auto"/>
          <w:sz w:val="21"/>
          <w:szCs w:val="21"/>
          <w:lang w:val="en-US" w:eastAsia="zh-CN"/>
        </w:rPr>
        <w:t>的金融</w:t>
      </w:r>
      <w:r>
        <w:rPr>
          <w:rFonts w:hint="eastAsia" w:ascii="楷体" w:hAnsi="楷体" w:eastAsia="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r>
        <w:rPr>
          <w:rFonts w:hint="eastAsia" w:ascii="楷体" w:hAnsi="楷体" w:eastAsia="楷体"/>
          <w:b/>
          <w:bCs w:val="0"/>
          <w:color w:val="auto"/>
          <w:sz w:val="21"/>
          <w:szCs w:val="21"/>
          <w:highlight w:val="none"/>
        </w:rPr>
        <w:t>在理财产品开放日净赎回额（赎回申请份额总数扣除申购申请份额总数）超过理财产品存续份额10%时，即为发生巨额赎回，此时苏银理财有权拒绝赎回申请，这可能影响投资者的资金安排，带来流动性风险。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管理风险：</w:t>
      </w:r>
      <w:r>
        <w:rPr>
          <w:rFonts w:hint="eastAsia" w:ascii="楷体" w:hAnsi="楷体" w:eastAsia="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操作风险：</w:t>
      </w:r>
      <w:r>
        <w:rPr>
          <w:rFonts w:hint="eastAsia" w:ascii="楷体" w:hAnsi="楷体" w:eastAsia="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延期兑付风险：</w:t>
      </w:r>
      <w:r>
        <w:rPr>
          <w:rFonts w:hint="eastAsia" w:ascii="楷体" w:hAnsi="楷体" w:eastAsia="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提前终止风险：</w:t>
      </w:r>
      <w:r>
        <w:rPr>
          <w:rFonts w:hint="eastAsia" w:ascii="楷体" w:hAnsi="楷体" w:eastAsia="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lang w:val="en-US" w:eastAsia="zh-CN"/>
        </w:rPr>
        <w:t>产品销售文件</w:t>
      </w:r>
      <w:r>
        <w:rPr>
          <w:rFonts w:hint="eastAsia" w:ascii="楷体" w:hAnsi="楷体" w:eastAsia="楷体"/>
          <w:color w:val="auto"/>
          <w:sz w:val="21"/>
          <w:szCs w:val="21"/>
        </w:rPr>
        <w:t>的，产品管理人有权提前终止理财产品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信息传递风险：</w:t>
      </w:r>
      <w:r>
        <w:rPr>
          <w:rFonts w:hint="eastAsia" w:ascii="楷体" w:hAnsi="楷体" w:eastAsia="楷体"/>
          <w:color w:val="auto"/>
          <w:sz w:val="21"/>
          <w:szCs w:val="21"/>
        </w:rPr>
        <w:t>产品管理人将按照本理财产品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sz w:val="21"/>
          <w:szCs w:val="21"/>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w:t>
      </w:r>
      <w:r>
        <w:rPr>
          <w:rFonts w:hint="eastAsia" w:ascii="楷体" w:hAnsi="楷体" w:eastAsia="楷体"/>
          <w:sz w:val="21"/>
          <w:szCs w:val="21"/>
        </w:rPr>
        <w:t>其</w:t>
      </w:r>
      <w:r>
        <w:rPr>
          <w:rFonts w:hint="eastAsia" w:ascii="楷体" w:hAnsi="楷体" w:eastAsia="楷体"/>
          <w:sz w:val="21"/>
          <w:szCs w:val="21"/>
          <w:highlight w:val="none"/>
        </w:rPr>
        <w:t>认购</w:t>
      </w:r>
      <w:r>
        <w:rPr>
          <w:rFonts w:hint="eastAsia" w:ascii="楷体" w:hAnsi="楷体" w:eastAsia="楷体"/>
          <w:sz w:val="21"/>
          <w:szCs w:val="21"/>
          <w:highlight w:val="none"/>
          <w:lang w:val="en-US" w:eastAsia="zh-CN"/>
        </w:rPr>
        <w:t>/申购</w:t>
      </w:r>
      <w:r>
        <w:rPr>
          <w:rFonts w:hint="eastAsia" w:ascii="楷体" w:hAnsi="楷体" w:eastAsia="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不可抗力风险：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olor w:val="auto"/>
          <w:sz w:val="21"/>
          <w:szCs w:val="21"/>
        </w:rPr>
      </w:pPr>
      <w:r>
        <w:rPr>
          <w:rFonts w:hint="eastAsia" w:ascii="楷体" w:hAnsi="楷体" w:eastAsia="楷体" w:cs="Times New Roman"/>
          <w:b/>
          <w:bCs/>
          <w:color w:val="auto"/>
          <w:sz w:val="21"/>
          <w:szCs w:val="21"/>
        </w:rPr>
        <w:t>关联关系及关联交易风险</w:t>
      </w:r>
      <w:r>
        <w:rPr>
          <w:rFonts w:hint="eastAsia" w:ascii="楷体" w:hAnsi="楷体" w:eastAsia="楷体" w:cs="Times New Roman"/>
          <w:color w:val="auto"/>
          <w:sz w:val="21"/>
          <w:szCs w:val="21"/>
        </w:rPr>
        <w:t>：本理财产品由</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理财发行并作为管理人，独立履行产品管理职责，</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理财委托销售机构销售理财产品的，可能涉及委托</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银行股份有限公司（以下简称“</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银行”）作为理财产品的销售机构，负责理财产品的代理销售工作。</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理财是</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银行控股的子公司，二者互为关联方，可能出现关联交易行为。</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olor w:val="auto"/>
          <w:sz w:val="21"/>
          <w:szCs w:val="21"/>
        </w:rPr>
      </w:pP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default" w:ascii="Calibri" w:hAnsi="Calibri" w:eastAsia="楷体" w:cs="Calibri"/>
          <w:color w:val="auto"/>
          <w:sz w:val="21"/>
          <w:szCs w:val="21"/>
        </w:rPr>
        <w:t>①</w:t>
      </w:r>
      <w:r>
        <w:rPr>
          <w:rFonts w:hint="eastAsia" w:ascii="楷体" w:hAnsi="楷体" w:eastAsia="楷体"/>
          <w:color w:val="auto"/>
          <w:sz w:val="21"/>
          <w:szCs w:val="21"/>
        </w:rPr>
        <w:t>市场平均利率水平变化导致债券价格变化的风险。</w:t>
      </w:r>
      <w:r>
        <w:rPr>
          <w:rFonts w:hint="default" w:ascii="Calibri" w:hAnsi="Calibri" w:eastAsia="楷体" w:cs="Calibri"/>
          <w:color w:val="auto"/>
          <w:sz w:val="21"/>
          <w:szCs w:val="21"/>
        </w:rPr>
        <w:t>②</w:t>
      </w:r>
      <w:r>
        <w:rPr>
          <w:rFonts w:hint="eastAsia" w:ascii="楷体" w:hAnsi="楷体" w:eastAsia="楷体"/>
          <w:color w:val="auto"/>
          <w:sz w:val="21"/>
          <w:szCs w:val="21"/>
        </w:rPr>
        <w:t>债券市场不同期限、不同类别债券之间的利差变动导致相应期限和类别债券价格变化的风险。</w:t>
      </w:r>
      <w:r>
        <w:rPr>
          <w:rFonts w:hint="default" w:ascii="Calibri" w:hAnsi="Calibri" w:eastAsia="楷体" w:cs="Calibri"/>
          <w:color w:val="auto"/>
          <w:sz w:val="21"/>
          <w:szCs w:val="21"/>
        </w:rPr>
        <w:t>③</w:t>
      </w:r>
      <w:r>
        <w:rPr>
          <w:rFonts w:hint="eastAsia" w:ascii="楷体" w:hAnsi="楷体" w:eastAsia="楷体"/>
          <w:color w:val="auto"/>
          <w:sz w:val="21"/>
          <w:szCs w:val="21"/>
        </w:rPr>
        <w:t>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r>
        <w:rPr>
          <w:rFonts w:hint="eastAsia" w:ascii="楷体" w:hAnsi="楷体" w:eastAsia="楷体" w:cs="楷体"/>
          <w:color w:val="auto"/>
          <w:sz w:val="21"/>
          <w:szCs w:val="21"/>
        </w:rPr>
        <w:t>④</w:t>
      </w:r>
      <w:r>
        <w:rPr>
          <w:rFonts w:hint="eastAsia" w:ascii="楷体" w:hAnsi="楷体" w:eastAsia="楷体"/>
          <w:color w:val="auto"/>
          <w:sz w:val="21"/>
          <w:szCs w:val="21"/>
        </w:rPr>
        <w:t>债券发行人、担保人出现违约拒绝支付到期本息，或由于债券发行人、担保人信用质量降低导致债券价格下降及无法收回投资收益的风险。</w:t>
      </w:r>
      <w:r>
        <w:rPr>
          <w:rFonts w:hint="eastAsia" w:ascii="楷体" w:hAnsi="楷体" w:eastAsia="楷体" w:cs="楷体"/>
          <w:color w:val="auto"/>
          <w:sz w:val="21"/>
          <w:szCs w:val="21"/>
        </w:rPr>
        <w:t>⑤</w:t>
      </w:r>
      <w:r>
        <w:rPr>
          <w:rFonts w:hint="eastAsia" w:ascii="楷体" w:hAnsi="楷体" w:eastAsia="楷体"/>
          <w:color w:val="auto"/>
          <w:sz w:val="21"/>
          <w:szCs w:val="21"/>
        </w:rPr>
        <w:t>与信用等级较高的债券相比，投资于信用等级较低的债券将因为发行主体的偿还债务能力略低、受不利经济环境的影响更大以及违约风险更高等原因而面临更大的投资风险。</w:t>
      </w:r>
      <w:r>
        <w:rPr>
          <w:rFonts w:hint="eastAsia" w:ascii="楷体" w:hAnsi="楷体" w:eastAsia="楷体" w:cs="楷体"/>
          <w:color w:val="auto"/>
          <w:sz w:val="21"/>
          <w:szCs w:val="21"/>
        </w:rPr>
        <w:t>⑥</w:t>
      </w:r>
      <w:r>
        <w:rPr>
          <w:rFonts w:hint="eastAsia" w:ascii="楷体" w:hAnsi="楷体" w:eastAsia="楷体"/>
          <w:color w:val="auto"/>
          <w:sz w:val="21"/>
          <w:szCs w:val="21"/>
        </w:rPr>
        <w:t>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b/>
          <w:bCs w:val="0"/>
          <w:color w:val="auto"/>
          <w:sz w:val="21"/>
          <w:szCs w:val="21"/>
        </w:rPr>
      </w:pPr>
      <w:r>
        <w:rPr>
          <w:rFonts w:hint="default" w:ascii="楷体" w:hAnsi="楷体" w:eastAsia="楷体"/>
          <w:b/>
          <w:bCs w:val="0"/>
          <w:color w:val="auto"/>
          <w:sz w:val="21"/>
          <w:szCs w:val="21"/>
        </w:rPr>
        <w:t>①</w:t>
      </w:r>
      <w:r>
        <w:rPr>
          <w:rFonts w:hint="eastAsia" w:ascii="楷体" w:hAnsi="楷体" w:eastAsia="楷体"/>
          <w:b/>
          <w:bCs w:val="0"/>
          <w:color w:val="auto"/>
          <w:sz w:val="21"/>
          <w:szCs w:val="21"/>
        </w:rPr>
        <w:t>国家货币政策、财政政策、产业政策等的变化对证券市场产生一定的影响，导致市场价格水平波动的风险。</w:t>
      </w:r>
      <w:r>
        <w:rPr>
          <w:rFonts w:hint="default" w:ascii="楷体" w:hAnsi="楷体" w:eastAsia="楷体"/>
          <w:b/>
          <w:bCs w:val="0"/>
          <w:color w:val="auto"/>
          <w:sz w:val="21"/>
          <w:szCs w:val="21"/>
        </w:rPr>
        <w:t>②</w:t>
      </w:r>
      <w:r>
        <w:rPr>
          <w:rFonts w:hint="eastAsia" w:ascii="楷体" w:hAnsi="楷体" w:eastAsia="楷体"/>
          <w:b/>
          <w:bCs w:val="0"/>
          <w:color w:val="auto"/>
          <w:sz w:val="21"/>
          <w:szCs w:val="21"/>
        </w:rPr>
        <w:t>宏观经济运行周期性波动，对股票市场的收益水平产生影响的风险。</w:t>
      </w:r>
      <w:r>
        <w:rPr>
          <w:rFonts w:hint="default" w:ascii="楷体" w:hAnsi="楷体" w:eastAsia="楷体"/>
          <w:b/>
          <w:bCs w:val="0"/>
          <w:color w:val="auto"/>
          <w:sz w:val="21"/>
          <w:szCs w:val="21"/>
        </w:rPr>
        <w:t>③</w:t>
      </w:r>
      <w:r>
        <w:rPr>
          <w:rFonts w:hint="eastAsia" w:ascii="楷体" w:hAnsi="楷体" w:eastAsia="楷体"/>
          <w:b/>
          <w:bCs w:val="0"/>
          <w:color w:val="auto"/>
          <w:sz w:val="21"/>
          <w:szCs w:val="21"/>
        </w:rPr>
        <w:t>上市公司的经营状况受多种因素影响，如市场、技术、竞争、管理、财务等都会导致公司盈利发生变化，从而导致股票价格变动的风险。</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资产管理计划或</w:t>
      </w:r>
      <w:r>
        <w:rPr>
          <w:rFonts w:hint="eastAsia" w:ascii="楷体" w:hAnsi="楷体" w:eastAsia="楷体"/>
          <w:color w:val="auto"/>
          <w:sz w:val="21"/>
          <w:szCs w:val="21"/>
          <w:lang w:val="en-US" w:eastAsia="zh-CN"/>
        </w:rPr>
        <w:t>基金产品</w:t>
      </w:r>
      <w:r>
        <w:rPr>
          <w:rFonts w:hint="eastAsia" w:ascii="楷体" w:hAnsi="楷体" w:eastAsia="楷体"/>
          <w:color w:val="auto"/>
          <w:sz w:val="21"/>
          <w:szCs w:val="21"/>
        </w:rPr>
        <w:t>的特殊风险</w:t>
      </w:r>
    </w:p>
    <w:p>
      <w:pPr>
        <w:numPr>
          <w:ilvl w:val="0"/>
          <w:numId w:val="0"/>
        </w:numPr>
        <w:tabs>
          <w:tab w:val="left" w:pos="742"/>
        </w:tabs>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约定的投资范围，导致本理财产品项下委托财产的损失等风险。</w:t>
      </w:r>
    </w:p>
    <w:p>
      <w:pPr>
        <w:numPr>
          <w:ilvl w:val="0"/>
          <w:numId w:val="3"/>
        </w:numPr>
        <w:tabs>
          <w:tab w:val="left" w:pos="742"/>
        </w:tabs>
        <w:rPr>
          <w:rFonts w:hint="eastAsia" w:ascii="楷体" w:hAnsi="楷体" w:eastAsia="楷体" w:cs="楷体"/>
          <w:b/>
          <w:bCs/>
          <w:color w:val="auto"/>
          <w:kern w:val="2"/>
          <w:sz w:val="21"/>
          <w:szCs w:val="21"/>
          <w:lang w:val="en-US" w:eastAsia="zh-CN" w:bidi="ar-SA"/>
        </w:rPr>
      </w:pPr>
      <w:r>
        <w:rPr>
          <w:rFonts w:hint="eastAsia" w:ascii="楷体" w:hAnsi="楷体" w:eastAsia="楷体"/>
          <w:b/>
          <w:bCs/>
          <w:color w:val="auto"/>
          <w:sz w:val="21"/>
          <w:szCs w:val="21"/>
          <w:lang w:val="en-US" w:eastAsia="zh-CN"/>
        </w:rPr>
        <w:t>金融衍生品投资</w:t>
      </w:r>
      <w:r>
        <w:rPr>
          <w:rFonts w:hint="eastAsia" w:ascii="楷体" w:hAnsi="楷体" w:eastAsia="楷体"/>
          <w:b/>
          <w:bCs/>
          <w:color w:val="auto"/>
          <w:sz w:val="21"/>
          <w:szCs w:val="21"/>
        </w:rPr>
        <w:t>的特殊风险</w:t>
      </w:r>
    </w:p>
    <w:p>
      <w:pPr>
        <w:numPr>
          <w:numId w:val="0"/>
        </w:numPr>
        <w:tabs>
          <w:tab w:val="left" w:pos="742"/>
        </w:tabs>
        <w:ind w:firstLine="422" w:firstLineChars="200"/>
        <w:rPr>
          <w:rFonts w:hint="eastAsia" w:ascii="楷体" w:hAnsi="楷体" w:eastAsia="楷体" w:cs="楷体"/>
          <w:b/>
          <w:bCs/>
          <w:color w:val="auto"/>
          <w:kern w:val="2"/>
          <w:sz w:val="21"/>
          <w:szCs w:val="21"/>
          <w:lang w:val="en-US" w:eastAsia="zh-CN" w:bidi="ar-SA"/>
        </w:rPr>
      </w:pPr>
      <w:r>
        <w:rPr>
          <w:rFonts w:hint="eastAsia" w:ascii="楷体" w:hAnsi="楷体" w:eastAsia="楷体" w:cs="楷体"/>
          <w:b/>
          <w:bCs/>
          <w:color w:val="auto"/>
          <w:kern w:val="2"/>
          <w:sz w:val="21"/>
          <w:szCs w:val="21"/>
          <w:lang w:val="en-US" w:eastAsia="zh-CN" w:bidi="ar-SA"/>
        </w:rPr>
        <w:fldChar w:fldCharType="begin"/>
      </w:r>
      <w:r>
        <w:rPr>
          <w:rFonts w:hint="eastAsia" w:ascii="楷体" w:hAnsi="楷体" w:eastAsia="楷体" w:cs="楷体"/>
          <w:b/>
          <w:bCs/>
          <w:color w:val="auto"/>
          <w:kern w:val="2"/>
          <w:sz w:val="21"/>
          <w:szCs w:val="21"/>
          <w:lang w:val="en-US" w:eastAsia="zh-CN" w:bidi="ar-SA"/>
        </w:rPr>
        <w:instrText xml:space="preserve"> = 1 \* GB3 \* MERGEFORMAT </w:instrText>
      </w:r>
      <w:r>
        <w:rPr>
          <w:rFonts w:hint="eastAsia" w:ascii="楷体" w:hAnsi="楷体" w:eastAsia="楷体" w:cs="楷体"/>
          <w:b/>
          <w:bCs/>
          <w:color w:val="auto"/>
          <w:kern w:val="2"/>
          <w:sz w:val="21"/>
          <w:szCs w:val="21"/>
          <w:lang w:val="en-US" w:eastAsia="zh-CN" w:bidi="ar-SA"/>
        </w:rPr>
        <w:fldChar w:fldCharType="separate"/>
      </w:r>
      <w:r>
        <w:rPr>
          <w:b/>
          <w:bCs/>
        </w:rPr>
        <w:t>①</w:t>
      </w:r>
      <w:r>
        <w:rPr>
          <w:rFonts w:hint="eastAsia" w:ascii="楷体" w:hAnsi="楷体" w:eastAsia="楷体" w:cs="楷体"/>
          <w:b/>
          <w:bCs/>
          <w:color w:val="auto"/>
          <w:kern w:val="2"/>
          <w:sz w:val="21"/>
          <w:szCs w:val="21"/>
          <w:lang w:val="en-US" w:eastAsia="zh-CN" w:bidi="ar-SA"/>
        </w:rPr>
        <w:fldChar w:fldCharType="end"/>
      </w:r>
      <w:r>
        <w:rPr>
          <w:rFonts w:hint="eastAsia" w:ascii="楷体" w:hAnsi="楷体" w:eastAsia="楷体" w:cs="楷体"/>
          <w:b/>
          <w:bCs/>
          <w:color w:val="auto"/>
          <w:kern w:val="2"/>
          <w:sz w:val="21"/>
          <w:szCs w:val="21"/>
          <w:lang w:val="en-US" w:eastAsia="zh-CN" w:bidi="ar-SA"/>
        </w:rPr>
        <w:t>场外衍生品交易相对属于创新业务，金融监管部门可视业务的开展情况对相关政策和规定进行调整，引起场外衍生品交易业务相关规定、运作方式变化或者证券市场波动，从而给投资者带来风险。</w:t>
      </w:r>
      <w:r>
        <w:rPr>
          <w:rFonts w:hint="eastAsia" w:ascii="楷体" w:hAnsi="楷体" w:eastAsia="楷体" w:cs="楷体"/>
          <w:b/>
          <w:bCs/>
          <w:color w:val="auto"/>
          <w:kern w:val="2"/>
          <w:sz w:val="21"/>
          <w:szCs w:val="21"/>
          <w:lang w:val="en-US" w:eastAsia="zh-CN" w:bidi="ar-SA"/>
        </w:rPr>
        <w:fldChar w:fldCharType="begin"/>
      </w:r>
      <w:r>
        <w:rPr>
          <w:rFonts w:hint="eastAsia" w:ascii="楷体" w:hAnsi="楷体" w:eastAsia="楷体" w:cs="楷体"/>
          <w:b/>
          <w:bCs/>
          <w:color w:val="auto"/>
          <w:kern w:val="2"/>
          <w:sz w:val="21"/>
          <w:szCs w:val="21"/>
          <w:lang w:val="en-US" w:eastAsia="zh-CN" w:bidi="ar-SA"/>
        </w:rPr>
        <w:instrText xml:space="preserve"> = 2 \* GB3 \* MERGEFORMAT </w:instrText>
      </w:r>
      <w:r>
        <w:rPr>
          <w:rFonts w:hint="eastAsia" w:ascii="楷体" w:hAnsi="楷体" w:eastAsia="楷体" w:cs="楷体"/>
          <w:b/>
          <w:bCs/>
          <w:color w:val="auto"/>
          <w:kern w:val="2"/>
          <w:sz w:val="21"/>
          <w:szCs w:val="21"/>
          <w:lang w:val="en-US" w:eastAsia="zh-CN" w:bidi="ar-SA"/>
        </w:rPr>
        <w:fldChar w:fldCharType="separate"/>
      </w:r>
      <w:r>
        <w:rPr>
          <w:b/>
          <w:bCs/>
        </w:rPr>
        <w:t>②</w:t>
      </w:r>
      <w:r>
        <w:rPr>
          <w:rFonts w:hint="eastAsia" w:ascii="楷体" w:hAnsi="楷体" w:eastAsia="楷体" w:cs="楷体"/>
          <w:b/>
          <w:bCs/>
          <w:color w:val="auto"/>
          <w:kern w:val="2"/>
          <w:sz w:val="21"/>
          <w:szCs w:val="21"/>
          <w:lang w:val="en-US" w:eastAsia="zh-CN" w:bidi="ar-SA"/>
        </w:rPr>
        <w:fldChar w:fldCharType="end"/>
      </w:r>
      <w:r>
        <w:rPr>
          <w:rFonts w:hint="eastAsia" w:ascii="楷体" w:hAnsi="楷体" w:eastAsia="楷体" w:cs="楷体"/>
          <w:b/>
          <w:bCs/>
          <w:color w:val="auto"/>
          <w:kern w:val="2"/>
          <w:sz w:val="21"/>
          <w:szCs w:val="21"/>
          <w:lang w:val="en-US" w:eastAsia="zh-CN" w:bidi="ar-SA"/>
        </w:rPr>
        <w:t>政治、经济、社会等各类因素均可能导致金融衍生品所挂钩的标的资产价格波动，从而导致金融衍生品公允价值发生变化。③不同金融衍生品的交易活跃度有所差异，部分金融衍生品交易不活跃，可能存在无法以合理的价格及时达成交易的风险，包括但不限于建仓、对冲或平仓交易。</w:t>
      </w:r>
      <w:r>
        <w:rPr>
          <w:rFonts w:hint="eastAsia" w:ascii="楷体" w:hAnsi="楷体" w:eastAsia="楷体" w:cs="楷体"/>
          <w:b/>
          <w:bCs/>
          <w:color w:val="auto"/>
          <w:kern w:val="2"/>
          <w:sz w:val="21"/>
          <w:szCs w:val="21"/>
          <w:lang w:val="en-US" w:eastAsia="zh-CN" w:bidi="ar-SA"/>
        </w:rPr>
        <w:fldChar w:fldCharType="begin"/>
      </w:r>
      <w:r>
        <w:rPr>
          <w:rFonts w:hint="eastAsia" w:ascii="楷体" w:hAnsi="楷体" w:eastAsia="楷体" w:cs="楷体"/>
          <w:b/>
          <w:bCs/>
          <w:color w:val="auto"/>
          <w:kern w:val="2"/>
          <w:sz w:val="21"/>
          <w:szCs w:val="21"/>
          <w:lang w:val="en-US" w:eastAsia="zh-CN" w:bidi="ar-SA"/>
        </w:rPr>
        <w:instrText xml:space="preserve"> = 4 \* GB3 \* MERGEFORMAT </w:instrText>
      </w:r>
      <w:r>
        <w:rPr>
          <w:rFonts w:hint="eastAsia" w:ascii="楷体" w:hAnsi="楷体" w:eastAsia="楷体" w:cs="楷体"/>
          <w:b/>
          <w:bCs/>
          <w:color w:val="auto"/>
          <w:kern w:val="2"/>
          <w:sz w:val="21"/>
          <w:szCs w:val="21"/>
          <w:lang w:val="en-US" w:eastAsia="zh-CN" w:bidi="ar-SA"/>
        </w:rPr>
        <w:fldChar w:fldCharType="separate"/>
      </w:r>
      <w:r>
        <w:rPr>
          <w:rFonts w:hint="eastAsia" w:ascii="楷体" w:hAnsi="楷体" w:eastAsia="楷体" w:cs="楷体"/>
          <w:b/>
          <w:bCs/>
          <w:color w:val="auto"/>
          <w:kern w:val="2"/>
          <w:sz w:val="21"/>
          <w:szCs w:val="21"/>
          <w:lang w:val="en-US" w:eastAsia="zh-CN" w:bidi="ar-SA"/>
        </w:rPr>
        <w:t>④</w:t>
      </w:r>
      <w:r>
        <w:rPr>
          <w:rFonts w:hint="eastAsia" w:ascii="楷体" w:hAnsi="楷体" w:eastAsia="楷体" w:cs="楷体"/>
          <w:b/>
          <w:bCs/>
          <w:color w:val="auto"/>
          <w:kern w:val="2"/>
          <w:sz w:val="21"/>
          <w:szCs w:val="21"/>
          <w:lang w:val="en-US" w:eastAsia="zh-CN" w:bidi="ar-SA"/>
        </w:rPr>
        <w:fldChar w:fldCharType="end"/>
      </w:r>
      <w:r>
        <w:rPr>
          <w:rFonts w:hint="eastAsia" w:ascii="楷体" w:hAnsi="楷体" w:eastAsia="楷体" w:cs="楷体"/>
          <w:b/>
          <w:bCs/>
          <w:color w:val="auto"/>
          <w:kern w:val="2"/>
          <w:sz w:val="21"/>
          <w:szCs w:val="21"/>
          <w:lang w:val="en-US" w:eastAsia="zh-CN" w:bidi="ar-SA"/>
        </w:rPr>
        <w:t>本产品所投资的金融衍生品可能受到市场中断事件、对冲干扰事件等异常事件的影响，导致相应的观察日、提前终止日等与衍生品交易相关的日期发生调整，或相应的衍生品合约提前终止或展期、行情中断、暂停估值等的风险。其中，市场中断事件包括但不限于挂钩标的在任一交易日发生闭市、提早闭市、标的停牌、交易中断、交易所中断等影响发行人观察挂钩标的收盘价格、交易等的事件；对冲干扰事件包括但不限于挂钩标的在任一交易日交易时间内曾触及当日涨停价格、跌停价格等导致产品发行人认定的无法有效交易挂钩标的以对冲风险或对冲风险的成本显著增加的事件。</w:t>
      </w:r>
      <w:r>
        <w:rPr>
          <w:rFonts w:hint="eastAsia" w:ascii="楷体" w:hAnsi="楷体" w:eastAsia="楷体" w:cs="楷体"/>
          <w:b/>
          <w:bCs/>
          <w:color w:val="auto"/>
          <w:kern w:val="2"/>
          <w:sz w:val="21"/>
          <w:szCs w:val="21"/>
          <w:lang w:val="en-US" w:eastAsia="zh-CN" w:bidi="ar-SA"/>
        </w:rPr>
        <w:fldChar w:fldCharType="begin"/>
      </w:r>
      <w:r>
        <w:rPr>
          <w:rFonts w:hint="eastAsia" w:ascii="楷体" w:hAnsi="楷体" w:eastAsia="楷体" w:cs="楷体"/>
          <w:b/>
          <w:bCs/>
          <w:color w:val="auto"/>
          <w:kern w:val="2"/>
          <w:sz w:val="21"/>
          <w:szCs w:val="21"/>
          <w:lang w:val="en-US" w:eastAsia="zh-CN" w:bidi="ar-SA"/>
        </w:rPr>
        <w:instrText xml:space="preserve"> = 5 \* GB3 \* MERGEFORMAT </w:instrText>
      </w:r>
      <w:r>
        <w:rPr>
          <w:rFonts w:hint="eastAsia" w:ascii="楷体" w:hAnsi="楷体" w:eastAsia="楷体" w:cs="楷体"/>
          <w:b/>
          <w:bCs/>
          <w:color w:val="auto"/>
          <w:kern w:val="2"/>
          <w:sz w:val="21"/>
          <w:szCs w:val="21"/>
          <w:lang w:val="en-US" w:eastAsia="zh-CN" w:bidi="ar-SA"/>
        </w:rPr>
        <w:fldChar w:fldCharType="separate"/>
      </w:r>
      <w:r>
        <w:rPr>
          <w:b/>
          <w:bCs/>
        </w:rPr>
        <w:t>⑤</w:t>
      </w:r>
      <w:r>
        <w:rPr>
          <w:rFonts w:hint="eastAsia" w:ascii="楷体" w:hAnsi="楷体" w:eastAsia="楷体" w:cs="楷体"/>
          <w:b/>
          <w:bCs/>
          <w:color w:val="auto"/>
          <w:kern w:val="2"/>
          <w:sz w:val="21"/>
          <w:szCs w:val="21"/>
          <w:lang w:val="en-US" w:eastAsia="zh-CN" w:bidi="ar-SA"/>
        </w:rPr>
        <w:fldChar w:fldCharType="end"/>
      </w:r>
      <w:r>
        <w:rPr>
          <w:rFonts w:hint="eastAsia" w:ascii="楷体" w:hAnsi="楷体" w:eastAsia="楷体" w:cs="楷体"/>
          <w:b/>
          <w:bCs/>
          <w:color w:val="auto"/>
          <w:kern w:val="2"/>
          <w:sz w:val="21"/>
          <w:szCs w:val="21"/>
          <w:lang w:val="en-US" w:eastAsia="zh-CN" w:bidi="ar-SA"/>
        </w:rPr>
        <w:t>金融衍生品交易对手相关风险可能包括信用风险、操作风险、技术风险等。其中，信用风险指在金融衍生品交易和结算过程中，交易对手方可能发生违约情形、遭受不可抗力影响或因破产等其他非主观原因导致无法履行金融衍生品交易合同项下的支付、交付义务而给投资者造成损失的风险；操作风险指交易对手在业务操作过程中，可能因操作失误或违反操作规程导致交易失败或资金划拨失败等而给投资者带来的风险；技术风险指交易对手由于信息技术系统发生故障、存在缺陷等因素影响交易撮合、清算估值、会计核算、资金划转等业务的正常开展，导致投资者利益受到影响的风险。</w:t>
      </w:r>
      <w:r>
        <w:rPr>
          <w:rFonts w:hint="eastAsia" w:ascii="楷体" w:hAnsi="楷体" w:eastAsia="楷体" w:cs="楷体"/>
          <w:b/>
          <w:bCs/>
          <w:color w:val="auto"/>
          <w:kern w:val="2"/>
          <w:sz w:val="21"/>
          <w:szCs w:val="21"/>
          <w:lang w:val="en-US" w:eastAsia="zh-CN" w:bidi="ar-SA"/>
        </w:rPr>
        <w:fldChar w:fldCharType="begin"/>
      </w:r>
      <w:r>
        <w:rPr>
          <w:rFonts w:hint="eastAsia" w:ascii="楷体" w:hAnsi="楷体" w:eastAsia="楷体" w:cs="楷体"/>
          <w:b/>
          <w:bCs/>
          <w:color w:val="auto"/>
          <w:kern w:val="2"/>
          <w:sz w:val="21"/>
          <w:szCs w:val="21"/>
          <w:lang w:val="en-US" w:eastAsia="zh-CN" w:bidi="ar-SA"/>
        </w:rPr>
        <w:instrText xml:space="preserve"> = 6 \* GB3 \* MERGEFORMAT </w:instrText>
      </w:r>
      <w:r>
        <w:rPr>
          <w:rFonts w:hint="eastAsia" w:ascii="楷体" w:hAnsi="楷体" w:eastAsia="楷体" w:cs="楷体"/>
          <w:b/>
          <w:bCs/>
          <w:color w:val="auto"/>
          <w:kern w:val="2"/>
          <w:sz w:val="21"/>
          <w:szCs w:val="21"/>
          <w:lang w:val="en-US" w:eastAsia="zh-CN" w:bidi="ar-SA"/>
        </w:rPr>
        <w:fldChar w:fldCharType="separate"/>
      </w:r>
      <w:r>
        <w:rPr>
          <w:b/>
          <w:bCs/>
        </w:rPr>
        <w:t>⑥</w:t>
      </w:r>
      <w:r>
        <w:rPr>
          <w:rFonts w:hint="eastAsia" w:ascii="楷体" w:hAnsi="楷体" w:eastAsia="楷体" w:cs="楷体"/>
          <w:b/>
          <w:bCs/>
          <w:color w:val="auto"/>
          <w:kern w:val="2"/>
          <w:sz w:val="21"/>
          <w:szCs w:val="21"/>
          <w:lang w:val="en-US" w:eastAsia="zh-CN" w:bidi="ar-SA"/>
        </w:rPr>
        <w:fldChar w:fldCharType="end"/>
      </w:r>
      <w:r>
        <w:rPr>
          <w:rFonts w:hint="eastAsia" w:ascii="楷体" w:hAnsi="楷体" w:eastAsia="楷体" w:cs="楷体"/>
          <w:b/>
          <w:bCs/>
          <w:color w:val="auto"/>
          <w:kern w:val="2"/>
          <w:sz w:val="21"/>
          <w:szCs w:val="21"/>
          <w:lang w:val="en-US" w:eastAsia="zh-CN" w:bidi="ar-SA"/>
        </w:rPr>
        <w:t>金融衍生品的估值结果受到估值模型、基于估值模型的计算方法及模型参数等多方面因素的共同影响，任一因素的调整均会导致计算得到的估值结果发生变动，因此金融衍生品存续期间的估值结果仅可作为参考，具体金融衍生品提前终止、部分提前终止、追加交易等均以交易对手实际交易确认结果为准。</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eastAsia" w:ascii="楷体" w:hAnsi="楷体" w:eastAsia="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u w:val="single"/>
          <w:lang w:val="en-US" w:eastAsia="zh-CN"/>
        </w:rPr>
        <w:t>独立做出</w:t>
      </w:r>
      <w:r>
        <w:rPr>
          <w:rFonts w:hint="eastAsia" w:ascii="楷体" w:hAnsi="楷体" w:eastAsia="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ascii="楷体" w:hAnsi="楷体" w:eastAsia="楷体"/>
          <w:b/>
          <w:color w:val="auto"/>
          <w:sz w:val="24"/>
          <w:szCs w:val="24"/>
        </w:rPr>
      </w:pPr>
      <w:r>
        <w:rPr>
          <w:rFonts w:hint="eastAsia" w:ascii="楷体" w:hAnsi="楷体" w:eastAsia="楷体"/>
          <w:b/>
          <w:color w:val="auto"/>
          <w:sz w:val="24"/>
          <w:szCs w:val="24"/>
        </w:rPr>
        <w:t>投资者提示</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本理财产品不保证本金及收益，您的本金可能因市场变动或者交易违约等事项而蒙受相应损失，</w:t>
      </w:r>
      <w:r>
        <w:rPr>
          <w:rFonts w:hint="eastAsia" w:ascii="楷体" w:hAnsi="楷体" w:eastAsia="楷体"/>
          <w:b/>
          <w:bCs/>
          <w:color w:val="auto"/>
          <w:sz w:val="21"/>
          <w:szCs w:val="21"/>
          <w:u w:val="single"/>
        </w:rPr>
        <w:t>在最不利的情况下甚至可能损失全部本金。</w:t>
      </w:r>
      <w:r>
        <w:rPr>
          <w:rFonts w:hint="eastAsia" w:ascii="楷体" w:hAnsi="楷体" w:eastAsia="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olor w:val="auto"/>
          <w:sz w:val="21"/>
          <w:szCs w:val="21"/>
        </w:rPr>
      </w:pPr>
      <w:r>
        <w:rPr>
          <w:rFonts w:hint="eastAsia" w:ascii="楷体" w:hAnsi="楷体" w:eastAsia="楷体"/>
          <w:color w:val="auto"/>
          <w:sz w:val="21"/>
          <w:szCs w:val="21"/>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ascii="楷体" w:hAnsi="楷体" w:eastAsia="楷体"/>
          <w:color w:val="auto"/>
          <w:sz w:val="21"/>
          <w:szCs w:val="21"/>
          <w:highlight w:val="none"/>
        </w:rPr>
      </w:pPr>
      <w:r>
        <w:rPr>
          <w:rFonts w:hint="eastAsia" w:ascii="楷体" w:hAnsi="楷体" w:eastAsia="楷体"/>
          <w:color w:val="auto"/>
          <w:sz w:val="21"/>
          <w:szCs w:val="21"/>
          <w:highlight w:val="none"/>
        </w:rPr>
        <w:t>本理财产品类型为</w:t>
      </w:r>
      <w:r>
        <w:rPr>
          <w:rFonts w:hint="eastAsia" w:ascii="楷体" w:hAnsi="楷体" w:eastAsia="楷体" w:cs="Calibri"/>
          <w:b/>
          <w:color w:val="auto"/>
          <w:sz w:val="21"/>
          <w:szCs w:val="21"/>
          <w:highlight w:val="none"/>
          <w:u w:val="single"/>
        </w:rPr>
        <w:t>固定收益类、公募、</w:t>
      </w:r>
      <w:r>
        <w:rPr>
          <w:rFonts w:hint="eastAsia" w:ascii="楷体" w:hAnsi="楷体" w:eastAsia="楷体" w:cs="Calibri"/>
          <w:b/>
          <w:color w:val="auto"/>
          <w:sz w:val="21"/>
          <w:szCs w:val="21"/>
          <w:highlight w:val="none"/>
          <w:u w:val="single"/>
          <w:lang w:val="en-US" w:eastAsia="zh-CN"/>
        </w:rPr>
        <w:t>开放</w:t>
      </w:r>
      <w:r>
        <w:rPr>
          <w:rFonts w:hint="eastAsia" w:ascii="楷体" w:hAnsi="楷体" w:eastAsia="楷体" w:cs="Calibri"/>
          <w:b/>
          <w:color w:val="auto"/>
          <w:sz w:val="21"/>
          <w:szCs w:val="21"/>
          <w:highlight w:val="none"/>
          <w:u w:val="single"/>
        </w:rPr>
        <w:t>式</w:t>
      </w:r>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w:t>
      </w:r>
      <w:r>
        <w:rPr>
          <w:rFonts w:hint="eastAsia" w:ascii="楷体" w:hAnsi="楷体" w:eastAsia="楷体"/>
          <w:b/>
          <w:color w:val="auto"/>
          <w:sz w:val="21"/>
          <w:szCs w:val="21"/>
          <w:highlight w:val="none"/>
          <w:u w:val="single"/>
          <w:lang w:val="en-US" w:eastAsia="zh-CN"/>
        </w:rPr>
        <w:t>三</w:t>
      </w:r>
      <w:r>
        <w:rPr>
          <w:rFonts w:hint="eastAsia" w:ascii="楷体" w:hAnsi="楷体" w:eastAsia="楷体"/>
          <w:b/>
          <w:color w:val="auto"/>
          <w:sz w:val="21"/>
          <w:szCs w:val="21"/>
          <w:highlight w:val="none"/>
          <w:u w:val="single"/>
        </w:rPr>
        <w:t>级，适合</w:t>
      </w:r>
      <w:r>
        <w:rPr>
          <w:rFonts w:hint="eastAsia" w:ascii="楷体" w:hAnsi="楷体" w:eastAsia="楷体" w:cs="Calibri"/>
          <w:b/>
          <w:color w:val="auto"/>
          <w:sz w:val="21"/>
          <w:szCs w:val="21"/>
          <w:highlight w:val="none"/>
          <w:u w:val="single"/>
        </w:rPr>
        <w:t>中风险型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highlight w:val="none"/>
          <w:u w:val="single"/>
        </w:rPr>
        <w:t>。</w:t>
      </w:r>
      <w:r>
        <w:rPr>
          <w:rFonts w:hint="eastAsia" w:ascii="楷体" w:hAnsi="楷体" w:eastAsia="楷体" w:cs="Calibri"/>
          <w:b/>
          <w:color w:val="auto"/>
          <w:sz w:val="21"/>
          <w:szCs w:val="21"/>
          <w:highlight w:val="none"/>
          <w:u w:val="single"/>
        </w:rPr>
        <w:t>如本产品通过代理销售机构渠道销售，理财产品评级以代理销售机构最终披露的评级结果为准。</w:t>
      </w:r>
      <w:bookmarkStart w:id="0" w:name="_GoBack"/>
      <w:bookmarkEnd w:id="0"/>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并对评估结果签字确认</w:t>
      </w:r>
      <w:r>
        <w:rPr>
          <w:rFonts w:hint="eastAsia" w:ascii="楷体" w:hAnsi="楷体" w:eastAsia="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r>
        <w:rPr>
          <w:rFonts w:hint="eastAsia" w:ascii="楷体" w:hAnsi="楷体" w:eastAsia="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投资者本人填写</w:t>
      </w:r>
      <w:r>
        <w:rPr>
          <w:rFonts w:hint="eastAsia" w:ascii="楷体" w:hAnsi="楷体" w:eastAsia="楷体"/>
          <w:color w:val="auto"/>
          <w:sz w:val="21"/>
          <w:szCs w:val="21"/>
          <w:u w:val="single"/>
        </w:rPr>
        <w:t>）</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pPr>
        <w:pStyle w:val="13"/>
        <w:spacing w:before="0" w:beforeAutospacing="0" w:after="0" w:afterAutospacing="0" w:line="360" w:lineRule="auto"/>
        <w:jc w:val="right"/>
        <w:rPr>
          <w:rFonts w:ascii="楷体" w:hAnsi="楷体" w:eastAsia="楷体"/>
        </w:rPr>
      </w:pPr>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r>
        <w:rPr>
          <w:rFonts w:hint="eastAsia" w:ascii="楷体" w:hAnsi="楷体" w:eastAsia="楷体"/>
          <w:b/>
          <w:sz w:val="36"/>
          <w:szCs w:val="36"/>
        </w:rPr>
        <w:t xml:space="preserve"> </w:t>
      </w:r>
    </w:p>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9D0212"/>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3E4259"/>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A71043"/>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801B6"/>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21814</Words>
  <Characters>22616</Characters>
  <Lines>243</Lines>
  <Paragraphs>68</Paragraphs>
  <TotalTime>1</TotalTime>
  <ScaleCrop>false</ScaleCrop>
  <LinksUpToDate>false</LinksUpToDate>
  <CharactersWithSpaces>22805</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2025-12-03T00:51:54Z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