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pageBreakBefore w:val="0"/>
        <w:spacing w:before="0" w:beforeAutospacing="0" w:after="0" w:afterAutospacing="0" w:line="240" w:lineRule="auto"/>
        <w:jc w:val="center"/>
        <w:rPr>
          <w:rFonts w:hint="eastAsia" w:ascii="楷体" w:hAnsi="楷体" w:eastAsia="楷体"/>
          <w:b/>
          <w:color w:val="auto"/>
          <w:sz w:val="28"/>
          <w:szCs w:val="28"/>
          <w:highlight w:val="none"/>
          <w:lang w:eastAsia="zh-CN"/>
        </w:rPr>
      </w:pPr>
      <w:r>
        <w:rPr>
          <w:rFonts w:hint="eastAsia" w:ascii="楷体" w:hAnsi="楷体" w:eastAsia="楷体"/>
          <w:b/>
          <w:color w:val="auto"/>
          <w:sz w:val="28"/>
          <w:szCs w:val="28"/>
          <w:highlight w:val="none"/>
        </w:rPr>
        <w:t>“苏银理财恒源</w:t>
      </w:r>
      <w:r>
        <w:rPr>
          <w:rFonts w:hint="eastAsia" w:ascii="楷体" w:hAnsi="楷体" w:eastAsia="楷体"/>
          <w:b/>
          <w:color w:val="auto"/>
          <w:sz w:val="28"/>
          <w:szCs w:val="28"/>
          <w:highlight w:val="none"/>
          <w:lang w:eastAsia="zh-CN"/>
        </w:rPr>
        <w:t>鑫安最短持有45天</w:t>
      </w:r>
      <w:r>
        <w:rPr>
          <w:rFonts w:hint="eastAsia" w:ascii="楷体" w:hAnsi="楷体" w:eastAsia="楷体"/>
          <w:b/>
          <w:color w:val="auto"/>
          <w:sz w:val="28"/>
          <w:szCs w:val="28"/>
          <w:highlight w:val="none"/>
        </w:rPr>
        <w:t>”理财产品</w:t>
      </w:r>
      <w:r>
        <w:rPr>
          <w:rFonts w:hint="eastAsia" w:ascii="楷体" w:hAnsi="楷体" w:eastAsia="楷体"/>
          <w:b/>
          <w:color w:val="auto"/>
          <w:sz w:val="28"/>
          <w:szCs w:val="28"/>
          <w:highlight w:val="none"/>
          <w:lang w:val="en-US" w:eastAsia="zh-CN"/>
        </w:rPr>
        <w:t>说明书</w:t>
      </w:r>
    </w:p>
    <w:p>
      <w:pPr>
        <w:jc w:val="center"/>
        <w:rPr>
          <w:rFonts w:hint="eastAsia" w:ascii="楷体" w:hAnsi="楷体" w:eastAsia="楷体" w:cs="宋体"/>
          <w:b/>
          <w:kern w:val="0"/>
          <w:sz w:val="24"/>
          <w:szCs w:val="24"/>
          <w:highlight w:val="none"/>
          <w:lang w:eastAsia="zh-CN"/>
        </w:rPr>
      </w:pPr>
      <w:r>
        <w:rPr>
          <w:rFonts w:hint="eastAsia" w:ascii="楷体" w:hAnsi="楷体" w:eastAsia="楷体" w:cs="宋体"/>
          <w:b/>
          <w:kern w:val="0"/>
          <w:sz w:val="24"/>
          <w:szCs w:val="24"/>
          <w:highlight w:val="none"/>
          <w:lang w:val="en-US" w:eastAsia="zh-CN"/>
        </w:rPr>
        <w:t>（2026年3月版）</w:t>
      </w:r>
    </w:p>
    <w:p>
      <w:pPr>
        <w:jc w:val="center"/>
        <w:rPr>
          <w:rFonts w:hint="eastAsia" w:ascii="楷体" w:hAnsi="楷体" w:eastAsia="楷体" w:cs="宋体"/>
          <w:b/>
          <w:kern w:val="0"/>
          <w:sz w:val="24"/>
          <w:szCs w:val="24"/>
          <w:highlight w:val="none"/>
          <w:lang w:eastAsia="zh-CN"/>
        </w:rPr>
      </w:pPr>
      <w:r>
        <w:rPr>
          <w:rFonts w:hint="eastAsia" w:ascii="楷体" w:hAnsi="楷体" w:eastAsia="楷体" w:cs="宋体"/>
          <w:b/>
          <w:kern w:val="0"/>
          <w:sz w:val="24"/>
          <w:szCs w:val="24"/>
          <w:highlight w:val="none"/>
          <w:lang w:eastAsia="zh-CN"/>
        </w:rPr>
        <w:t>理财非存款、产品有风险、投资须谨慎</w:t>
      </w:r>
    </w:p>
    <w:p>
      <w:pPr>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b/>
          <w:sz w:val="21"/>
          <w:szCs w:val="21"/>
          <w:highlight w:val="none"/>
          <w:u w:val="single"/>
        </w:rPr>
        <w:t>本理</w:t>
      </w:r>
      <w:r>
        <w:rPr>
          <w:rFonts w:hint="eastAsia" w:ascii="楷体" w:hAnsi="楷体" w:eastAsia="楷体" w:cs="Times New Roman"/>
          <w:b/>
          <w:sz w:val="21"/>
          <w:szCs w:val="21"/>
          <w:highlight w:val="none"/>
          <w:u w:val="single"/>
        </w:rPr>
        <w:t>财产品不保证本金及收益，您的本金可能因市场变动</w:t>
      </w:r>
      <w:r>
        <w:rPr>
          <w:rFonts w:hint="eastAsia" w:ascii="楷体" w:hAnsi="楷体" w:eastAsia="楷体" w:cs="Times New Roman"/>
          <w:b/>
          <w:sz w:val="21"/>
          <w:szCs w:val="21"/>
          <w:highlight w:val="none"/>
          <w:u w:val="single"/>
          <w:lang w:val="en-US" w:eastAsia="zh-CN"/>
        </w:rPr>
        <w:t>或者交易违约等事项</w:t>
      </w:r>
      <w:r>
        <w:rPr>
          <w:rFonts w:hint="eastAsia" w:ascii="楷体" w:hAnsi="楷体" w:eastAsia="楷体" w:cs="Times New Roman"/>
          <w:b/>
          <w:sz w:val="21"/>
          <w:szCs w:val="21"/>
          <w:highlight w:val="none"/>
          <w:u w:val="single"/>
        </w:rPr>
        <w:t>而蒙受相应损失，投资者应充分认识投资风险，谨慎投资</w:t>
      </w:r>
      <w:r>
        <w:rPr>
          <w:rFonts w:hint="eastAsia" w:ascii="楷体" w:hAnsi="楷体" w:eastAsia="楷体" w:cs="Times New Roman"/>
          <w:b/>
          <w:sz w:val="21"/>
          <w:szCs w:val="21"/>
          <w:highlight w:val="none"/>
          <w:u w:val="single"/>
          <w:lang w:eastAsia="zh-CN"/>
        </w:rPr>
        <w:t>。</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本理财产品任何业绩比较基准</w:t>
      </w:r>
      <w:r>
        <w:rPr>
          <w:rFonts w:hint="eastAsia" w:ascii="楷体" w:hAnsi="楷体" w:eastAsia="楷体" w:cs="Times New Roman"/>
          <w:b/>
          <w:sz w:val="21"/>
          <w:szCs w:val="21"/>
          <w:highlight w:val="none"/>
          <w:u w:val="single"/>
          <w:lang w:val="en-US" w:eastAsia="zh-CN"/>
        </w:rPr>
        <w:t>及</w:t>
      </w:r>
      <w:r>
        <w:rPr>
          <w:rFonts w:hint="eastAsia" w:ascii="楷体" w:hAnsi="楷体" w:eastAsia="楷体" w:cs="Times New Roman"/>
          <w:b/>
          <w:sz w:val="21"/>
          <w:szCs w:val="21"/>
          <w:highlight w:val="none"/>
          <w:u w:val="single"/>
        </w:rPr>
        <w:t>类似表述均属不具有法律约束力的用语</w:t>
      </w:r>
      <w:r>
        <w:rPr>
          <w:rFonts w:hint="eastAsia" w:ascii="楷体" w:hAnsi="楷体" w:eastAsia="楷体" w:cs="Times New Roman"/>
          <w:b/>
          <w:sz w:val="21"/>
          <w:szCs w:val="21"/>
          <w:highlight w:val="none"/>
          <w:u w:val="single"/>
          <w:lang w:eastAsia="zh-CN"/>
        </w:rPr>
        <w:t>。</w:t>
      </w:r>
      <w:r>
        <w:rPr>
          <w:rFonts w:hint="eastAsia" w:ascii="楷体" w:hAnsi="楷体" w:eastAsia="楷体" w:cs="Times New Roman"/>
          <w:b/>
          <w:sz w:val="21"/>
          <w:szCs w:val="21"/>
          <w:highlight w:val="none"/>
          <w:u w:val="single"/>
        </w:rPr>
        <w:t>业绩比较基准</w:t>
      </w:r>
      <w:r>
        <w:rPr>
          <w:rFonts w:hint="eastAsia" w:ascii="楷体" w:hAnsi="楷体" w:eastAsia="楷体" w:cs="Times New Roman"/>
          <w:b/>
          <w:sz w:val="21"/>
          <w:szCs w:val="21"/>
          <w:highlight w:val="none"/>
          <w:u w:val="single"/>
          <w:lang w:val="en-US" w:eastAsia="zh-CN"/>
        </w:rPr>
        <w:t>为</w:t>
      </w:r>
      <w:r>
        <w:rPr>
          <w:rFonts w:hint="eastAsia" w:ascii="楷体" w:hAnsi="楷体" w:eastAsia="楷体" w:cs="Times New Roman"/>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w:t>
      </w:r>
      <w:r>
        <w:rPr>
          <w:rFonts w:hint="eastAsia" w:ascii="楷体" w:hAnsi="楷体" w:eastAsia="楷体"/>
          <w:sz w:val="21"/>
          <w:szCs w:val="21"/>
          <w:highlight w:val="none"/>
          <w:lang w:eastAsia="zh-CN"/>
        </w:rPr>
        <w:t>苏银理财恒源鑫安最短持有45天</w:t>
      </w:r>
      <w:r>
        <w:rPr>
          <w:rFonts w:hint="eastAsia" w:ascii="楷体" w:hAnsi="楷体" w:eastAsia="楷体"/>
          <w:sz w:val="21"/>
          <w:szCs w:val="21"/>
          <w:highlight w:val="none"/>
        </w:rPr>
        <w:t>”理财产品风险揭示书》的“风险揭示”部分。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产品要素</w:t>
      </w:r>
    </w:p>
    <w:p>
      <w:pPr>
        <w:numPr>
          <w:ilvl w:val="0"/>
          <w:numId w:val="0"/>
        </w:numPr>
        <w:tabs>
          <w:tab w:val="left" w:pos="728"/>
        </w:tabs>
        <w:ind w:left="0" w:leftChars="0" w:firstLine="420" w:firstLineChars="200"/>
        <w:rPr>
          <w:rFonts w:hint="eastAsia" w:ascii="楷体" w:hAnsi="楷体" w:eastAsia="楷体" w:cs="Calibri"/>
          <w:sz w:val="21"/>
          <w:szCs w:val="21"/>
          <w:highlight w:val="none"/>
          <w:lang w:val="en-US" w:eastAsia="zh-CN"/>
        </w:rPr>
      </w:pPr>
      <w:r>
        <w:rPr>
          <w:rFonts w:hint="eastAsia" w:ascii="楷体" w:hAnsi="楷体" w:eastAsia="楷体" w:cs="Calibri"/>
          <w:sz w:val="21"/>
          <w:szCs w:val="21"/>
          <w:highlight w:val="none"/>
          <w:lang w:val="en-US" w:eastAsia="zh-CN"/>
        </w:rPr>
        <w:t>为保护投资者合法权益，尊重投资者的知情权和自主选择权，现将本理财产品的基本要素说明如下：</w:t>
      </w:r>
    </w:p>
    <w:tbl>
      <w:tblPr>
        <w:tblStyle w:val="1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苏银理财恒源鑫安最短持有45天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default" w:ascii="楷体" w:hAnsi="楷体" w:eastAsia="楷体" w:cs="宋体"/>
                <w:spacing w:val="-2"/>
                <w:sz w:val="18"/>
                <w:szCs w:val="18"/>
                <w:highlight w:val="none"/>
                <w:lang w:val="en-US" w:eastAsia="zh-CN"/>
              </w:rPr>
              <w:t>Z7003124000086，投资者可依据该编码在中国理财网www.chinawealth.com.cn查询产品信息。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lang w:val="en-US" w:eastAsia="zh-CN"/>
              </w:rPr>
              <w:t>销售名称</w:t>
            </w:r>
            <w:r>
              <w:rPr>
                <w:rFonts w:hint="eastAsia" w:ascii="楷体" w:hAnsi="楷体" w:eastAsia="楷体" w:cs="宋体"/>
                <w:b/>
                <w:spacing w:val="-2"/>
                <w:sz w:val="18"/>
                <w:szCs w:val="18"/>
                <w:highlight w:val="none"/>
              </w:rPr>
              <w:t>/销售代码</w:t>
            </w:r>
          </w:p>
        </w:tc>
        <w:tc>
          <w:tcPr>
            <w:tcW w:w="7937"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w:t>
            </w:r>
            <w:r>
              <w:rPr>
                <w:rFonts w:hint="default" w:ascii="楷体" w:hAnsi="楷体" w:eastAsia="楷体" w:cs="宋体"/>
                <w:spacing w:val="-2"/>
                <w:sz w:val="18"/>
                <w:szCs w:val="18"/>
                <w:highlight w:val="none"/>
                <w:lang w:val="en-US" w:eastAsia="zh-CN"/>
              </w:rPr>
              <w:t>份额：苏银理财恒源</w:t>
            </w:r>
            <w:r>
              <w:rPr>
                <w:rFonts w:hint="eastAsia" w:ascii="楷体" w:hAnsi="楷体" w:eastAsia="楷体" w:cs="宋体"/>
                <w:spacing w:val="-2"/>
                <w:sz w:val="18"/>
                <w:szCs w:val="18"/>
                <w:highlight w:val="none"/>
                <w:lang w:val="en-US" w:eastAsia="zh-CN"/>
              </w:rPr>
              <w:t>鑫安最短持有45天A</w:t>
            </w:r>
            <w:r>
              <w:rPr>
                <w:rFonts w:hint="default" w:ascii="楷体" w:hAnsi="楷体" w:eastAsia="楷体" w:cs="宋体"/>
                <w:spacing w:val="-2"/>
                <w:sz w:val="18"/>
                <w:szCs w:val="18"/>
                <w:highlight w:val="none"/>
                <w:lang w:val="en-US" w:eastAsia="zh-CN"/>
              </w:rPr>
              <w:t>/J035</w:t>
            </w:r>
            <w:r>
              <w:rPr>
                <w:rFonts w:hint="eastAsia" w:ascii="楷体" w:hAnsi="楷体" w:eastAsia="楷体" w:cs="宋体"/>
                <w:spacing w:val="-2"/>
                <w:sz w:val="18"/>
                <w:szCs w:val="18"/>
                <w:highlight w:val="none"/>
                <w:lang w:val="en-US" w:eastAsia="zh-CN"/>
              </w:rPr>
              <w:t>03</w:t>
            </w:r>
          </w:p>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B</w:t>
            </w:r>
            <w:r>
              <w:rPr>
                <w:rFonts w:hint="default" w:ascii="楷体" w:hAnsi="楷体" w:eastAsia="楷体" w:cs="宋体"/>
                <w:spacing w:val="-2"/>
                <w:sz w:val="18"/>
                <w:szCs w:val="18"/>
                <w:highlight w:val="none"/>
                <w:lang w:val="en-US" w:eastAsia="zh-CN"/>
              </w:rPr>
              <w:t>份额：苏银理财恒源</w:t>
            </w:r>
            <w:r>
              <w:rPr>
                <w:rFonts w:hint="eastAsia" w:ascii="楷体" w:hAnsi="楷体" w:eastAsia="楷体" w:cs="宋体"/>
                <w:spacing w:val="-2"/>
                <w:sz w:val="18"/>
                <w:szCs w:val="18"/>
                <w:highlight w:val="none"/>
                <w:lang w:val="en-US" w:eastAsia="zh-CN"/>
              </w:rPr>
              <w:t>鑫安最短持有45天B</w:t>
            </w:r>
            <w:r>
              <w:rPr>
                <w:rFonts w:hint="default" w:ascii="楷体" w:hAnsi="楷体" w:eastAsia="楷体" w:cs="宋体"/>
                <w:spacing w:val="-2"/>
                <w:sz w:val="18"/>
                <w:szCs w:val="18"/>
                <w:highlight w:val="none"/>
                <w:lang w:val="en-US" w:eastAsia="zh-CN"/>
              </w:rPr>
              <w:t>/J0</w:t>
            </w:r>
            <w:r>
              <w:rPr>
                <w:rFonts w:hint="eastAsia" w:ascii="楷体" w:hAnsi="楷体" w:eastAsia="楷体" w:cs="宋体"/>
                <w:spacing w:val="-2"/>
                <w:sz w:val="18"/>
                <w:szCs w:val="18"/>
                <w:highlight w:val="none"/>
                <w:lang w:val="en-US" w:eastAsia="zh-CN"/>
              </w:rPr>
              <w:t>4070</w:t>
            </w:r>
          </w:p>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H</w:t>
            </w:r>
            <w:r>
              <w:rPr>
                <w:rFonts w:hint="default" w:ascii="楷体" w:hAnsi="楷体" w:eastAsia="楷体" w:cs="宋体"/>
                <w:spacing w:val="-2"/>
                <w:sz w:val="18"/>
                <w:szCs w:val="18"/>
                <w:highlight w:val="none"/>
                <w:lang w:val="en-US" w:eastAsia="zh-CN"/>
              </w:rPr>
              <w:t>份额：苏银理财恒源</w:t>
            </w:r>
            <w:r>
              <w:rPr>
                <w:rFonts w:hint="eastAsia" w:ascii="楷体" w:hAnsi="楷体" w:eastAsia="楷体" w:cs="宋体"/>
                <w:spacing w:val="-2"/>
                <w:sz w:val="18"/>
                <w:szCs w:val="18"/>
                <w:highlight w:val="none"/>
                <w:lang w:val="en-US" w:eastAsia="zh-CN"/>
              </w:rPr>
              <w:t>鑫安最短持有45天H</w:t>
            </w:r>
            <w:r>
              <w:rPr>
                <w:rFonts w:hint="default" w:ascii="楷体" w:hAnsi="楷体" w:eastAsia="楷体" w:cs="宋体"/>
                <w:spacing w:val="-2"/>
                <w:sz w:val="18"/>
                <w:szCs w:val="18"/>
                <w:highlight w:val="none"/>
                <w:lang w:val="en-US" w:eastAsia="zh-CN"/>
              </w:rPr>
              <w:t>/J0</w:t>
            </w:r>
            <w:r>
              <w:rPr>
                <w:rFonts w:hint="eastAsia" w:ascii="楷体" w:hAnsi="楷体" w:eastAsia="楷体" w:cs="宋体"/>
                <w:spacing w:val="-2"/>
                <w:sz w:val="18"/>
                <w:szCs w:val="18"/>
                <w:highlight w:val="none"/>
                <w:lang w:val="en-US" w:eastAsia="zh-CN"/>
              </w:rPr>
              <w:t>4813</w:t>
            </w:r>
          </w:p>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C</w:t>
            </w:r>
            <w:r>
              <w:rPr>
                <w:rFonts w:hint="default" w:ascii="楷体" w:hAnsi="楷体" w:eastAsia="楷体" w:cs="宋体"/>
                <w:spacing w:val="-2"/>
                <w:sz w:val="18"/>
                <w:szCs w:val="18"/>
                <w:highlight w:val="none"/>
                <w:lang w:val="en-US" w:eastAsia="zh-CN"/>
              </w:rPr>
              <w:t>份额：苏银理财恒源</w:t>
            </w:r>
            <w:r>
              <w:rPr>
                <w:rFonts w:hint="eastAsia" w:ascii="楷体" w:hAnsi="楷体" w:eastAsia="楷体" w:cs="宋体"/>
                <w:spacing w:val="-2"/>
                <w:sz w:val="18"/>
                <w:szCs w:val="18"/>
                <w:highlight w:val="none"/>
                <w:lang w:val="en-US" w:eastAsia="zh-CN"/>
              </w:rPr>
              <w:t>鑫安最短持有45天C</w:t>
            </w:r>
            <w:r>
              <w:rPr>
                <w:rFonts w:hint="default" w:ascii="楷体" w:hAnsi="楷体" w:eastAsia="楷体" w:cs="宋体"/>
                <w:spacing w:val="-2"/>
                <w:sz w:val="18"/>
                <w:szCs w:val="18"/>
                <w:highlight w:val="none"/>
                <w:lang w:val="en-US" w:eastAsia="zh-CN"/>
              </w:rPr>
              <w:t>/J</w:t>
            </w:r>
            <w:r>
              <w:rPr>
                <w:rFonts w:hint="eastAsia" w:ascii="楷体" w:hAnsi="楷体" w:eastAsia="楷体" w:cs="宋体"/>
                <w:spacing w:val="-2"/>
                <w:sz w:val="18"/>
                <w:szCs w:val="18"/>
                <w:highlight w:val="none"/>
                <w:lang w:val="en-US" w:eastAsia="zh-CN"/>
              </w:rPr>
              <w:t>14381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产品类型</w:t>
            </w:r>
          </w:p>
        </w:tc>
        <w:tc>
          <w:tcPr>
            <w:tcW w:w="7937"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21" w:leftChars="10" w:right="21" w:rightChars="10" w:firstLine="0" w:firstLineChars="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w:t>
            </w:r>
            <w:r>
              <w:rPr>
                <w:rFonts w:hint="eastAsia" w:ascii="楷体" w:hAnsi="楷体" w:eastAsia="楷体"/>
                <w:b/>
                <w:color w:val="auto"/>
                <w:sz w:val="18"/>
                <w:szCs w:val="18"/>
                <w:highlight w:val="none"/>
                <w:u w:val="single"/>
                <w:lang w:val="en-US" w:eastAsia="zh-CN"/>
              </w:rPr>
              <w:t>三</w:t>
            </w:r>
            <w:r>
              <w:rPr>
                <w:rFonts w:hint="eastAsia" w:ascii="楷体" w:hAnsi="楷体" w:eastAsia="楷体"/>
                <w:b/>
                <w:color w:val="auto"/>
                <w:sz w:val="18"/>
                <w:szCs w:val="18"/>
                <w:highlight w:val="none"/>
                <w:u w:val="single"/>
              </w:rPr>
              <w:t>级，适合中风险型投资者，适合投资策略为</w:t>
            </w:r>
            <w:r>
              <w:rPr>
                <w:rFonts w:hint="eastAsia" w:ascii="楷体" w:hAnsi="楷体" w:eastAsia="楷体"/>
                <w:b/>
                <w:color w:val="auto"/>
                <w:sz w:val="18"/>
                <w:szCs w:val="18"/>
                <w:highlight w:val="none"/>
                <w:u w:val="single"/>
                <w:lang w:val="en-US" w:eastAsia="zh-CN"/>
              </w:rPr>
              <w:t>均衡</w:t>
            </w:r>
            <w:r>
              <w:rPr>
                <w:rFonts w:hint="eastAsia" w:ascii="楷体" w:hAnsi="楷体" w:eastAsia="楷体"/>
                <w:b/>
                <w:color w:val="auto"/>
                <w:sz w:val="18"/>
                <w:szCs w:val="18"/>
                <w:highlight w:val="none"/>
                <w:u w:val="single"/>
              </w:rPr>
              <w:t>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p>
          <w:tbl>
            <w:tblPr>
              <w:tblStyle w:val="14"/>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val="0"/>
                      <w:bCs/>
                      <w:color w:val="auto"/>
                      <w:kern w:val="0"/>
                      <w:sz w:val="18"/>
                      <w:szCs w:val="18"/>
                      <w:highlight w:val="none"/>
                    </w:rPr>
                  </w:pPr>
                  <w:r>
                    <w:rPr>
                      <w:rFonts w:hint="eastAsia" w:ascii="楷体" w:hAnsi="楷体" w:eastAsia="楷体" w:cs="浠垮畫"/>
                      <w:b w:val="0"/>
                      <w:bCs/>
                      <w:color w:val="auto"/>
                      <w:kern w:val="0"/>
                      <w:sz w:val="18"/>
                      <w:szCs w:val="18"/>
                      <w:highlight w:val="none"/>
                    </w:rPr>
                    <w:t>二级（PR2）</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val="0"/>
                      <w:bCs/>
                      <w:color w:val="auto"/>
                      <w:kern w:val="0"/>
                      <w:sz w:val="18"/>
                      <w:szCs w:val="18"/>
                      <w:highlight w:val="none"/>
                    </w:rPr>
                  </w:pPr>
                  <w:r>
                    <w:rPr>
                      <w:rFonts w:hint="eastAsia" w:ascii="楷体" w:hAnsi="楷体" w:eastAsia="楷体" w:cs="浠垮畫"/>
                      <w:b w:val="0"/>
                      <w:bCs/>
                      <w:color w:val="auto"/>
                      <w:kern w:val="0"/>
                      <w:sz w:val="18"/>
                      <w:szCs w:val="18"/>
                      <w:highlight w:val="none"/>
                    </w:rPr>
                    <w:t>中低风险型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val="0"/>
                      <w:bCs/>
                      <w:color w:val="auto"/>
                      <w:kern w:val="0"/>
                      <w:sz w:val="18"/>
                      <w:szCs w:val="18"/>
                      <w:highlight w:val="none"/>
                    </w:rPr>
                  </w:pPr>
                  <w:r>
                    <w:rPr>
                      <w:rFonts w:hint="eastAsia" w:ascii="楷体" w:hAnsi="楷体" w:eastAsia="楷体" w:cs="浠垮畫"/>
                      <w:b w:val="0"/>
                      <w:bCs/>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bCs/>
                      <w:color w:val="auto"/>
                      <w:kern w:val="0"/>
                      <w:sz w:val="18"/>
                      <w:szCs w:val="18"/>
                      <w:highlight w:val="none"/>
                    </w:rPr>
                  </w:pPr>
                  <w:r>
                    <w:rPr>
                      <w:rFonts w:hint="eastAsia" w:ascii="楷体" w:hAnsi="楷体" w:eastAsia="楷体" w:cs="浠垮畫"/>
                      <w:b/>
                      <w:bCs/>
                      <w:color w:val="auto"/>
                      <w:kern w:val="0"/>
                      <w:sz w:val="18"/>
                      <w:szCs w:val="18"/>
                      <w:highlight w:val="none"/>
                    </w:rPr>
                    <w:t>三级（PR3）</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bCs/>
                      <w:color w:val="auto"/>
                      <w:kern w:val="0"/>
                      <w:sz w:val="18"/>
                      <w:szCs w:val="18"/>
                      <w:highlight w:val="none"/>
                    </w:rPr>
                  </w:pPr>
                  <w:r>
                    <w:rPr>
                      <w:rFonts w:hint="eastAsia" w:ascii="楷体" w:hAnsi="楷体" w:eastAsia="楷体" w:cs="浠垮畫"/>
                      <w:b/>
                      <w:bCs/>
                      <w:color w:val="auto"/>
                      <w:kern w:val="0"/>
                      <w:sz w:val="18"/>
                      <w:szCs w:val="18"/>
                      <w:highlight w:val="none"/>
                    </w:rPr>
                    <w:t>中风险型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bCs/>
                      <w:color w:val="auto"/>
                      <w:kern w:val="0"/>
                      <w:sz w:val="18"/>
                      <w:szCs w:val="18"/>
                      <w:highlight w:val="none"/>
                    </w:rPr>
                  </w:pPr>
                  <w:r>
                    <w:rPr>
                      <w:rFonts w:hint="eastAsia" w:ascii="楷体" w:hAnsi="楷体" w:eastAsia="楷体" w:cs="浠垮畫"/>
                      <w:b/>
                      <w:bCs/>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0"/>
                <w:numId w:val="0"/>
              </w:numPr>
              <w:wordWrap/>
              <w:topLinePunct w:val="0"/>
              <w:bidi w:val="0"/>
              <w:snapToGrid w:val="0"/>
              <w:spacing w:line="240" w:lineRule="auto"/>
              <w:ind w:left="21" w:leftChars="10" w:right="21" w:rightChars="10" w:firstLine="0" w:firstLineChars="0"/>
              <w:jc w:val="both"/>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本产品计划发行规模为100亿元，管理人有权根据实际需要调整计划发行规模。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元的整数倍。苏银理财有权对上述起点金额和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2024年</w:t>
            </w:r>
            <w:r>
              <w:rPr>
                <w:rFonts w:hint="eastAsia" w:ascii="楷体" w:hAnsi="楷体" w:eastAsia="楷体" w:cs="宋体"/>
                <w:spacing w:val="-2"/>
                <w:sz w:val="18"/>
                <w:szCs w:val="18"/>
                <w:highlight w:val="none"/>
                <w:lang w:val="en-US" w:eastAsia="zh-CN"/>
              </w:rPr>
              <w:t>8</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28</w:t>
            </w:r>
            <w:r>
              <w:rPr>
                <w:rFonts w:hint="eastAsia" w:ascii="楷体" w:hAnsi="楷体" w:eastAsia="楷体" w:cs="宋体"/>
                <w:spacing w:val="-2"/>
                <w:sz w:val="18"/>
                <w:szCs w:val="18"/>
                <w:highlight w:val="none"/>
              </w:rPr>
              <w:t>日至2024年</w:t>
            </w:r>
            <w:r>
              <w:rPr>
                <w:rFonts w:hint="eastAsia" w:ascii="楷体" w:hAnsi="楷体" w:eastAsia="楷体" w:cs="宋体"/>
                <w:spacing w:val="-2"/>
                <w:sz w:val="18"/>
                <w:szCs w:val="18"/>
                <w:highlight w:val="none"/>
                <w:lang w:val="en-US" w:eastAsia="zh-CN"/>
              </w:rPr>
              <w:t>9</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3</w:t>
            </w:r>
            <w:r>
              <w:rPr>
                <w:rFonts w:hint="eastAsia" w:ascii="楷体" w:hAnsi="楷体" w:eastAsia="楷体" w:cs="宋体"/>
                <w:spacing w:val="-2"/>
                <w:sz w:val="18"/>
                <w:szCs w:val="18"/>
                <w:highlight w:val="none"/>
              </w:rPr>
              <w:t>日。</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eastAsia="zh-CN"/>
              </w:rPr>
              <w:t>2024年</w:t>
            </w:r>
            <w:r>
              <w:rPr>
                <w:rFonts w:hint="eastAsia" w:ascii="楷体" w:hAnsi="楷体" w:eastAsia="楷体" w:cs="宋体"/>
                <w:spacing w:val="-2"/>
                <w:sz w:val="18"/>
                <w:szCs w:val="18"/>
                <w:highlight w:val="none"/>
                <w:lang w:val="en-US" w:eastAsia="zh-CN"/>
              </w:rPr>
              <w:t>9</w:t>
            </w:r>
            <w:r>
              <w:rPr>
                <w:rFonts w:hint="eastAsia" w:ascii="楷体" w:hAnsi="楷体" w:eastAsia="楷体" w:cs="宋体"/>
                <w:spacing w:val="-2"/>
                <w:sz w:val="18"/>
                <w:szCs w:val="18"/>
                <w:highlight w:val="none"/>
                <w:lang w:eastAsia="zh-CN"/>
              </w:rPr>
              <w:t>月</w:t>
            </w:r>
            <w:r>
              <w:rPr>
                <w:rFonts w:hint="eastAsia" w:ascii="楷体" w:hAnsi="楷体" w:eastAsia="楷体" w:cs="宋体"/>
                <w:spacing w:val="-2"/>
                <w:sz w:val="18"/>
                <w:szCs w:val="18"/>
                <w:highlight w:val="none"/>
                <w:lang w:val="en-US" w:eastAsia="zh-CN"/>
              </w:rPr>
              <w:t>4</w:t>
            </w:r>
            <w:r>
              <w:rPr>
                <w:rFonts w:hint="eastAsia" w:ascii="楷体" w:hAnsi="楷体" w:eastAsia="楷体" w:cs="宋体"/>
                <w:spacing w:val="-2"/>
                <w:sz w:val="18"/>
                <w:szCs w:val="18"/>
                <w:highlight w:val="none"/>
                <w:lang w:eastAsia="zh-CN"/>
              </w:rPr>
              <w:t>日。</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r>
              <w:rPr>
                <w:rFonts w:hint="eastAsia" w:ascii="楷体" w:hAnsi="楷体" w:eastAsia="楷体" w:cs="宋体"/>
                <w:b/>
                <w:color w:val="auto"/>
                <w:spacing w:val="-2"/>
                <w:sz w:val="18"/>
                <w:szCs w:val="18"/>
                <w:highlight w:val="none"/>
              </w:rPr>
              <w:t>到期日</w:t>
            </w:r>
          </w:p>
        </w:tc>
        <w:tc>
          <w:tcPr>
            <w:tcW w:w="7937" w:type="dxa"/>
            <w:noWrap w:val="0"/>
            <w:vAlign w:val="top"/>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eastAsia="zh-CN"/>
              </w:rPr>
              <w:t>2034年12月29日。</w:t>
            </w:r>
            <w:r>
              <w:rPr>
                <w:rFonts w:hint="eastAsia" w:ascii="楷体" w:hAnsi="楷体" w:eastAsia="楷体" w:cs="宋体"/>
                <w:spacing w:val="-2"/>
                <w:sz w:val="18"/>
                <w:szCs w:val="18"/>
                <w:highlight w:val="none"/>
              </w:rPr>
              <w:t>如遇节假日，顺延至下一工作日。在符合产品说明书约定的条件下，管理人有权调整产品到期日，产品到期日受制于提前终止、延期终止条款。详见下文“产品终止”。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lang w:val="en-US" w:eastAsia="zh-CN"/>
              </w:rPr>
              <w:t>封闭运作期</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kern w:val="0"/>
                <w:sz w:val="18"/>
                <w:szCs w:val="18"/>
                <w:highlight w:val="none"/>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份额最低持有期</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default" w:ascii="楷体" w:hAnsi="楷体" w:eastAsia="楷体" w:cs="宋体"/>
                <w:b/>
                <w:spacing w:val="-2"/>
                <w:sz w:val="18"/>
                <w:szCs w:val="18"/>
                <w:highlight w:val="none"/>
                <w:u w:val="single"/>
                <w:lang w:val="en-US" w:eastAsia="zh-CN"/>
              </w:rPr>
            </w:pPr>
            <w:r>
              <w:rPr>
                <w:rFonts w:ascii="楷体" w:hAnsi="楷体" w:eastAsia="楷体" w:cs="宋体"/>
                <w:b/>
                <w:spacing w:val="-2"/>
                <w:sz w:val="18"/>
                <w:szCs w:val="18"/>
                <w:highlight w:val="none"/>
                <w:u w:val="single"/>
              </w:rPr>
              <w:t>份额自确认日起最低持有</w:t>
            </w:r>
            <w:r>
              <w:rPr>
                <w:rFonts w:hint="eastAsia" w:ascii="楷体" w:hAnsi="楷体" w:eastAsia="楷体" w:cs="宋体"/>
                <w:b/>
                <w:spacing w:val="-2"/>
                <w:sz w:val="18"/>
                <w:szCs w:val="18"/>
                <w:highlight w:val="none"/>
                <w:u w:val="single"/>
                <w:lang w:val="en-US" w:eastAsia="zh-CN"/>
              </w:rPr>
              <w:t>期为45</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w:t>
            </w:r>
            <w:r>
              <w:rPr>
                <w:rFonts w:hint="eastAsia" w:ascii="楷体" w:hAnsi="楷体" w:eastAsia="楷体" w:cs="宋体"/>
                <w:b/>
                <w:spacing w:val="-2"/>
                <w:sz w:val="18"/>
                <w:szCs w:val="18"/>
                <w:highlight w:val="none"/>
                <w:u w:val="single"/>
                <w:lang w:val="en-US" w:eastAsia="zh-CN"/>
              </w:rPr>
              <w:t>45天</w:t>
            </w:r>
            <w:r>
              <w:rPr>
                <w:rFonts w:ascii="楷体" w:hAnsi="楷体" w:eastAsia="楷体" w:cs="宋体"/>
                <w:b/>
                <w:spacing w:val="-2"/>
                <w:sz w:val="18"/>
                <w:szCs w:val="18"/>
                <w:highlight w:val="none"/>
                <w:u w:val="single"/>
              </w:rPr>
              <w:t>以内不可提出赎回申请</w:t>
            </w:r>
            <w:r>
              <w:rPr>
                <w:rFonts w:hint="eastAsia" w:ascii="楷体" w:hAnsi="楷体" w:eastAsia="楷体" w:cs="宋体"/>
                <w:b/>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top"/>
          </w:tcPr>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本产品自2024年</w:t>
            </w:r>
            <w:r>
              <w:rPr>
                <w:rFonts w:hint="eastAsia" w:ascii="楷体" w:hAnsi="楷体" w:eastAsia="楷体" w:cs="宋体"/>
                <w:b/>
                <w:bCs/>
                <w:spacing w:val="-2"/>
                <w:sz w:val="18"/>
                <w:szCs w:val="18"/>
                <w:highlight w:val="none"/>
                <w:u w:val="single"/>
                <w:lang w:val="en-US" w:eastAsia="zh-CN"/>
              </w:rPr>
              <w:t>9</w:t>
            </w:r>
            <w:r>
              <w:rPr>
                <w:rFonts w:hint="eastAsia" w:ascii="楷体" w:hAnsi="楷体" w:eastAsia="楷体" w:cs="宋体"/>
                <w:b/>
                <w:bCs/>
                <w:spacing w:val="-2"/>
                <w:sz w:val="18"/>
                <w:szCs w:val="18"/>
                <w:highlight w:val="none"/>
                <w:u w:val="single"/>
              </w:rPr>
              <w:t>月</w:t>
            </w:r>
            <w:r>
              <w:rPr>
                <w:rFonts w:hint="eastAsia" w:ascii="楷体" w:hAnsi="楷体" w:eastAsia="楷体" w:cs="宋体"/>
                <w:b/>
                <w:bCs/>
                <w:spacing w:val="-2"/>
                <w:sz w:val="18"/>
                <w:szCs w:val="18"/>
                <w:highlight w:val="none"/>
                <w:u w:val="single"/>
                <w:lang w:val="en-US" w:eastAsia="zh-CN"/>
              </w:rPr>
              <w:t>5</w:t>
            </w:r>
            <w:r>
              <w:rPr>
                <w:rFonts w:hint="eastAsia" w:ascii="楷体" w:hAnsi="楷体" w:eastAsia="楷体" w:cs="宋体"/>
                <w:b/>
                <w:bCs/>
                <w:spacing w:val="-2"/>
                <w:sz w:val="18"/>
                <w:szCs w:val="18"/>
                <w:highlight w:val="none"/>
                <w:u w:val="single"/>
              </w:rPr>
              <w:t>日起</w:t>
            </w:r>
            <w:r>
              <w:rPr>
                <w:rFonts w:hint="eastAsia" w:ascii="楷体" w:hAnsi="楷体" w:eastAsia="楷体" w:cs="宋体"/>
                <w:b/>
                <w:bCs/>
                <w:spacing w:val="-2"/>
                <w:sz w:val="18"/>
                <w:szCs w:val="18"/>
                <w:highlight w:val="none"/>
                <w:u w:val="single"/>
                <w:lang w:val="en-US" w:eastAsia="zh-CN"/>
              </w:rPr>
              <w:t>按开放日</w:t>
            </w:r>
            <w:r>
              <w:rPr>
                <w:rFonts w:hint="eastAsia" w:ascii="楷体" w:hAnsi="楷体" w:eastAsia="楷体" w:cs="宋体"/>
                <w:b/>
                <w:bCs/>
                <w:spacing w:val="-2"/>
                <w:sz w:val="18"/>
                <w:szCs w:val="18"/>
                <w:highlight w:val="none"/>
                <w:u w:val="single"/>
              </w:rPr>
              <w:t>接受</w:t>
            </w:r>
            <w:r>
              <w:rPr>
                <w:rFonts w:hint="eastAsia" w:ascii="楷体" w:hAnsi="楷体" w:eastAsia="楷体" w:cs="宋体"/>
                <w:b/>
                <w:bCs/>
                <w:spacing w:val="-2"/>
                <w:sz w:val="18"/>
                <w:szCs w:val="18"/>
                <w:highlight w:val="none"/>
                <w:u w:val="single"/>
                <w:lang w:val="en-US" w:eastAsia="zh-CN"/>
              </w:rPr>
              <w:t>投资者的</w:t>
            </w:r>
            <w:r>
              <w:rPr>
                <w:rFonts w:hint="eastAsia" w:ascii="楷体" w:hAnsi="楷体" w:eastAsia="楷体" w:cs="宋体"/>
                <w:b/>
                <w:bCs/>
                <w:spacing w:val="-2"/>
                <w:sz w:val="18"/>
                <w:szCs w:val="18"/>
                <w:highlight w:val="none"/>
                <w:u w:val="single"/>
              </w:rPr>
              <w:t>申购/赎回申请，每个交易日为产品开放日。</w:t>
            </w:r>
            <w:r>
              <w:rPr>
                <w:rFonts w:hint="eastAsia" w:ascii="楷体" w:hAnsi="楷体" w:eastAsia="楷体" w:cs="宋体"/>
                <w:spacing w:val="-2"/>
                <w:sz w:val="18"/>
                <w:szCs w:val="18"/>
                <w:highlight w:val="none"/>
              </w:rPr>
              <w:t>管理人有权根据资产运作情况、节假日安排</w:t>
            </w:r>
            <w:r>
              <w:rPr>
                <w:rFonts w:hint="eastAsia" w:ascii="楷体" w:hAnsi="楷体" w:eastAsia="楷体" w:cs="宋体"/>
                <w:spacing w:val="-2"/>
                <w:sz w:val="18"/>
                <w:szCs w:val="18"/>
                <w:highlight w:val="none"/>
                <w:lang w:val="en-US" w:eastAsia="zh-CN"/>
              </w:rPr>
              <w:t>等</w:t>
            </w:r>
            <w:r>
              <w:rPr>
                <w:rFonts w:hint="eastAsia" w:ascii="楷体" w:hAnsi="楷体" w:eastAsia="楷体" w:cs="宋体"/>
                <w:spacing w:val="-2"/>
                <w:sz w:val="18"/>
                <w:szCs w:val="18"/>
                <w:highlight w:val="none"/>
              </w:rPr>
              <w:t>调整开放日，并在调整前进行公告。</w:t>
            </w:r>
            <w:r>
              <w:rPr>
                <w:rFonts w:hint="eastAsia" w:ascii="楷体" w:hAnsi="楷体" w:eastAsia="楷体" w:cs="宋体"/>
                <w:b/>
                <w:bCs/>
                <w:spacing w:val="-2"/>
                <w:sz w:val="18"/>
                <w:szCs w:val="18"/>
                <w:highlight w:val="none"/>
                <w:u w:val="single"/>
              </w:rPr>
              <w:t>交易日指上海证券交易所和深圳证券交易所的正常开盘交易日。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暂无</w:t>
            </w:r>
            <w:r>
              <w:rPr>
                <w:rFonts w:hint="eastAsia" w:ascii="楷体" w:hAnsi="楷体" w:eastAsia="楷体" w:cs="宋体"/>
                <w:spacing w:val="-2"/>
                <w:sz w:val="18"/>
                <w:szCs w:val="18"/>
                <w:highlight w:val="none"/>
              </w:rPr>
              <w:t>。超过购买上限时，管理人有权拒绝投资者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暂无</w:t>
            </w:r>
            <w:r>
              <w:rPr>
                <w:rFonts w:hint="eastAsia" w:ascii="楷体" w:hAnsi="楷体" w:eastAsia="楷体" w:cs="宋体"/>
                <w:spacing w:val="-2"/>
                <w:sz w:val="18"/>
                <w:szCs w:val="18"/>
                <w:highlight w:val="none"/>
              </w:rPr>
              <w:t>。超过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1.管理人</w:t>
            </w:r>
            <w:r>
              <w:rPr>
                <w:rFonts w:hint="eastAsia" w:ascii="楷体" w:hAnsi="楷体" w:eastAsia="楷体" w:cs="宋体"/>
                <w:b/>
                <w:spacing w:val="-2"/>
                <w:sz w:val="18"/>
                <w:szCs w:val="18"/>
                <w:highlight w:val="none"/>
                <w:u w:val="single"/>
              </w:rPr>
              <w:t>参考过往投资经验，依据近期货币市场工具、债券、股票</w:t>
            </w:r>
            <w:r>
              <w:rPr>
                <w:rFonts w:hint="eastAsia" w:ascii="楷体" w:hAnsi="楷体" w:eastAsia="楷体" w:cs="宋体"/>
                <w:b/>
                <w:spacing w:val="-2"/>
                <w:sz w:val="18"/>
                <w:szCs w:val="18"/>
                <w:highlight w:val="none"/>
                <w:u w:val="single"/>
                <w:lang w:eastAsia="zh-CN"/>
              </w:rPr>
              <w:t>、</w:t>
            </w:r>
            <w:r>
              <w:rPr>
                <w:rFonts w:hint="eastAsia" w:ascii="楷体" w:hAnsi="楷体" w:eastAsia="楷体" w:cs="宋体"/>
                <w:b/>
                <w:spacing w:val="-2"/>
                <w:sz w:val="18"/>
                <w:szCs w:val="18"/>
                <w:highlight w:val="none"/>
                <w:u w:val="single"/>
                <w:lang w:val="en-US" w:eastAsia="zh-CN"/>
              </w:rPr>
              <w:t>商品及金融衍生品等</w:t>
            </w:r>
            <w:r>
              <w:rPr>
                <w:rFonts w:hint="eastAsia" w:ascii="楷体" w:hAnsi="楷体" w:eastAsia="楷体" w:cs="宋体"/>
                <w:b/>
                <w:spacing w:val="-2"/>
                <w:sz w:val="18"/>
                <w:szCs w:val="18"/>
                <w:highlight w:val="none"/>
                <w:u w:val="single"/>
              </w:rPr>
              <w:t>资产投资收益水平，在产品说明书约定的投资范围和投资比例内，综合考虑各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lang w:val="en-US" w:eastAsia="zh-CN"/>
              </w:rPr>
              <w:t>2.本产品各类份额可能因收取的销售服务费和投资管理费存在差异，业绩比较基准设置有所不同。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bookmarkStart w:id="1" w:name="_GoBack"/>
            <w:bookmarkEnd w:id="1"/>
            <w:r>
              <w:rPr>
                <w:rFonts w:hint="eastAsia" w:ascii="楷体" w:hAnsi="楷体" w:eastAsia="楷体" w:cs="宋体"/>
                <w:spacing w:val="-2"/>
                <w:sz w:val="18"/>
                <w:szCs w:val="18"/>
                <w:highlight w:val="none"/>
              </w:rPr>
              <w:t>中债-新综合全价(1年以下)指数收益率*40%+中国人民银行公布的半年定期存款利率*60%</w:t>
            </w:r>
            <w:r>
              <w:rPr>
                <w:rFonts w:hint="eastAsia" w:ascii="楷体" w:hAnsi="楷体" w:eastAsia="楷体" w:cs="宋体"/>
                <w:spacing w:val="-2"/>
                <w:sz w:val="18"/>
                <w:szCs w:val="18"/>
                <w:highlight w:val="none"/>
                <w:lang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本产品费用包括托管费、销售服务费、投资管理费、超额业绩报酬（如有）以及产品运作和清算中产生的其他费用等。</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1.托管费率（年化）：</w:t>
            </w:r>
            <w:r>
              <w:rPr>
                <w:rFonts w:hint="eastAsia" w:ascii="楷体" w:hAnsi="楷体" w:eastAsia="楷体" w:cs="宋体"/>
                <w:spacing w:val="-2"/>
                <w:sz w:val="18"/>
                <w:szCs w:val="18"/>
                <w:highlight w:val="none"/>
                <w:lang w:val="en-US" w:eastAsia="zh-CN"/>
              </w:rPr>
              <w:t>0.02</w:t>
            </w:r>
            <w:r>
              <w:rPr>
                <w:rFonts w:hint="eastAsia" w:ascii="楷体" w:hAnsi="楷体" w:eastAsia="楷体" w:cs="宋体"/>
                <w:spacing w:val="-2"/>
                <w:sz w:val="18"/>
                <w:szCs w:val="18"/>
                <w:highlight w:val="none"/>
              </w:rPr>
              <w:t>%。</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w:t>
            </w:r>
            <w:r>
              <w:rPr>
                <w:rFonts w:hint="eastAsia" w:ascii="楷体" w:hAnsi="楷体" w:eastAsia="楷体" w:cs="宋体"/>
                <w:spacing w:val="-2"/>
                <w:sz w:val="18"/>
                <w:szCs w:val="18"/>
                <w:highlight w:val="none"/>
                <w:lang w:val="en-US" w:eastAsia="zh-CN"/>
              </w:rPr>
              <w:t>A</w:t>
            </w:r>
            <w:r>
              <w:rPr>
                <w:rFonts w:hint="eastAsia" w:ascii="楷体" w:hAnsi="楷体" w:eastAsia="楷体" w:cs="宋体"/>
                <w:spacing w:val="-2"/>
                <w:sz w:val="18"/>
                <w:szCs w:val="18"/>
                <w:highlight w:val="none"/>
              </w:rPr>
              <w:t>份额</w:t>
            </w:r>
            <w:r>
              <w:rPr>
                <w:rFonts w:hint="eastAsia" w:ascii="楷体" w:hAnsi="楷体" w:eastAsia="楷体" w:cs="宋体"/>
                <w:spacing w:val="-2"/>
                <w:sz w:val="18"/>
                <w:szCs w:val="18"/>
                <w:highlight w:val="none"/>
                <w:lang w:val="en-US" w:eastAsia="zh-CN"/>
              </w:rPr>
              <w:t>0.30</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B份额0.30%，H</w:t>
            </w:r>
            <w:r>
              <w:rPr>
                <w:rFonts w:hint="eastAsia" w:ascii="楷体" w:hAnsi="楷体" w:eastAsia="楷体" w:cs="宋体"/>
                <w:spacing w:val="-2"/>
                <w:sz w:val="18"/>
                <w:szCs w:val="18"/>
                <w:highlight w:val="none"/>
                <w:lang w:eastAsia="zh-CN"/>
              </w:rPr>
              <w:t>份额</w:t>
            </w:r>
            <w:r>
              <w:rPr>
                <w:rFonts w:hint="eastAsia" w:ascii="楷体" w:hAnsi="楷体" w:eastAsia="楷体" w:cs="宋体"/>
                <w:spacing w:val="-2"/>
                <w:sz w:val="18"/>
                <w:szCs w:val="18"/>
                <w:highlight w:val="none"/>
                <w:lang w:val="en-US" w:eastAsia="zh-CN"/>
              </w:rPr>
              <w:t>0.40%，C份额0.30</w:t>
            </w:r>
            <w:r>
              <w:rPr>
                <w:rFonts w:hint="eastAsia" w:ascii="楷体" w:hAnsi="楷体" w:eastAsia="楷体" w:cs="宋体"/>
                <w:spacing w:val="-2"/>
                <w:sz w:val="18"/>
                <w:szCs w:val="18"/>
                <w:highlight w:val="none"/>
              </w:rPr>
              <w:t>%。</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w:t>
            </w:r>
            <w:r>
              <w:rPr>
                <w:rFonts w:hint="eastAsia" w:ascii="楷体" w:hAnsi="楷体" w:eastAsia="楷体" w:cs="宋体"/>
                <w:spacing w:val="-2"/>
                <w:sz w:val="18"/>
                <w:szCs w:val="18"/>
                <w:highlight w:val="none"/>
                <w:lang w:val="en-US" w:eastAsia="zh-CN"/>
              </w:rPr>
              <w:t>A</w:t>
            </w:r>
            <w:r>
              <w:rPr>
                <w:rFonts w:hint="eastAsia" w:ascii="楷体" w:hAnsi="楷体" w:eastAsia="楷体" w:cs="宋体"/>
                <w:spacing w:val="-2"/>
                <w:sz w:val="18"/>
                <w:szCs w:val="18"/>
                <w:highlight w:val="none"/>
              </w:rPr>
              <w:t>份额</w:t>
            </w:r>
            <w:r>
              <w:rPr>
                <w:rFonts w:hint="eastAsia" w:ascii="楷体" w:hAnsi="楷体" w:eastAsia="楷体" w:cs="宋体"/>
                <w:spacing w:val="-2"/>
                <w:sz w:val="18"/>
                <w:szCs w:val="18"/>
                <w:highlight w:val="none"/>
                <w:lang w:val="en-US" w:eastAsia="zh-CN"/>
              </w:rPr>
              <w:t>0.60</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B份额0.70%，H</w:t>
            </w:r>
            <w:r>
              <w:rPr>
                <w:rFonts w:hint="eastAsia" w:ascii="楷体" w:hAnsi="楷体" w:eastAsia="楷体" w:cs="宋体"/>
                <w:spacing w:val="-2"/>
                <w:sz w:val="18"/>
                <w:szCs w:val="18"/>
                <w:highlight w:val="none"/>
                <w:lang w:eastAsia="zh-CN"/>
              </w:rPr>
              <w:t>份额</w:t>
            </w:r>
            <w:r>
              <w:rPr>
                <w:rFonts w:hint="eastAsia" w:ascii="楷体" w:hAnsi="楷体" w:eastAsia="楷体" w:cs="宋体"/>
                <w:spacing w:val="-2"/>
                <w:sz w:val="18"/>
                <w:szCs w:val="18"/>
                <w:highlight w:val="none"/>
                <w:lang w:val="en-US" w:eastAsia="zh-CN"/>
              </w:rPr>
              <w:t>0.65%，C</w:t>
            </w:r>
            <w:r>
              <w:rPr>
                <w:rFonts w:hint="eastAsia" w:ascii="楷体" w:hAnsi="楷体" w:eastAsia="楷体" w:cs="宋体"/>
                <w:spacing w:val="-2"/>
                <w:sz w:val="18"/>
                <w:szCs w:val="18"/>
                <w:highlight w:val="none"/>
              </w:rPr>
              <w:t>份额</w:t>
            </w:r>
            <w:r>
              <w:rPr>
                <w:rFonts w:hint="eastAsia" w:ascii="楷体" w:hAnsi="楷体" w:eastAsia="楷体" w:cs="宋体"/>
                <w:spacing w:val="-2"/>
                <w:sz w:val="18"/>
                <w:szCs w:val="18"/>
                <w:highlight w:val="none"/>
                <w:lang w:val="en-US" w:eastAsia="zh-CN"/>
              </w:rPr>
              <w:t>0.60</w:t>
            </w:r>
            <w:r>
              <w:rPr>
                <w:rFonts w:hint="eastAsia" w:ascii="楷体" w:hAnsi="楷体" w:eastAsia="楷体" w:cs="宋体"/>
                <w:spacing w:val="-2"/>
                <w:sz w:val="18"/>
                <w:szCs w:val="18"/>
                <w:highlight w:val="none"/>
              </w:rPr>
              <w:t>%。</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如有）</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val="en-US" w:eastAsia="zh-CN"/>
              </w:rPr>
              <w:t>无。</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收益分配</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税款</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产品管理人</w:t>
      </w:r>
    </w:p>
    <w:p>
      <w:pPr>
        <w:numPr>
          <w:ilvl w:val="0"/>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firstLineChars="200"/>
        <w:rPr>
          <w:rFonts w:hint="eastAsia"/>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产品托管人</w:t>
      </w:r>
    </w:p>
    <w:p>
      <w:pPr>
        <w:numPr>
          <w:ilvl w:val="0"/>
          <w:numId w:val="0"/>
        </w:numPr>
        <w:ind w:firstLine="420" w:firstLineChars="200"/>
        <w:rPr>
          <w:rFonts w:hint="eastAsia"/>
          <w:highlight w:val="none"/>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highlight w:val="none"/>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银行股份有限公司/嘉兴银行股份有限公司/浙江绍兴瑞丰农村商业银行股份有限公司/苏银理财有限责任公司/中信百信银行股份有限公司/江苏扬州农村商业银行股份有限公司/江苏句容农村商业银行股份有限公司/江苏仪征农村商业银行股份有限公司/浙江嘉善农村商业银行股份有限公司</w:t>
      </w:r>
    </w:p>
    <w:p>
      <w:pPr>
        <w:numPr>
          <w:ilvl w:val="0"/>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嘉兴银行股份有限公司/广州农村商业银行股份有限公司/浙江绍兴瑞丰农村商业银行股份有限公司/齐鲁银行股份有限公司/苏银理财有限责任公司/浙江义乌农村商业银行股份有限公司/浙江德清农村商业银行股份有限公司/浙江富阳农村商业银行股份有限公司/浙江龙游农村商业银行股份有限公司/浙江温岭农村商业银行股份有限公司/浙江海宁农村商业银行股份有限公司</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H份额：苏银理财有限责任公司/湖南银行股份有限公司</w:t>
      </w:r>
    </w:p>
    <w:p>
      <w:pPr>
        <w:numPr>
          <w:ilvl w:val="0"/>
          <w:numId w:val="0"/>
        </w:numPr>
        <w:tabs>
          <w:tab w:val="left" w:pos="993"/>
        </w:tabs>
        <w:ind w:left="0" w:leftChars="0" w:firstLine="420" w:firstLineChars="200"/>
        <w:rPr>
          <w:rFonts w:hint="default"/>
          <w:lang w:val="en-US" w:eastAsia="zh-CN"/>
        </w:rPr>
      </w:pPr>
      <w:r>
        <w:rPr>
          <w:rFonts w:hint="eastAsia" w:ascii="楷体" w:hAnsi="楷体" w:eastAsia="楷体"/>
          <w:b w:val="0"/>
          <w:bCs w:val="0"/>
          <w:sz w:val="21"/>
          <w:szCs w:val="21"/>
          <w:highlight w:val="none"/>
          <w:u w:val="none"/>
          <w:lang w:val="en-US" w:eastAsia="zh-CN"/>
        </w:rPr>
        <w:t>C份额：苏银理财有限责任公司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交易日：</w:t>
      </w:r>
      <w:r>
        <w:rPr>
          <w:rFonts w:ascii="楷体" w:hAnsi="楷体" w:eastAsia="楷体" w:cs="Calibri"/>
          <w:color w:val="auto"/>
          <w:sz w:val="21"/>
          <w:szCs w:val="21"/>
          <w:highlight w:val="none"/>
        </w:rPr>
        <w:t>指上海证券交易所和深圳证券交易所的正常开盘交易日</w:t>
      </w:r>
      <w:r>
        <w:rPr>
          <w:rFonts w:hint="eastAsia" w:ascii="楷体" w:hAnsi="楷体" w:eastAsia="楷体" w:cs="Calibri"/>
          <w:color w:val="auto"/>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份额登记日/份额确认日：指管理人对投资者提交的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投资管理</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投资范围和比例</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现金、银行存款、债券回购、中央银行票据、同业存单、拆借、货币市场基金、债券、在银行间市场和证券交易所市场发行的资产支持证券、权益类资产（包括股票、公募基金等）、商品及金融衍生品类资产（包括但不限于股指期货、国债期货、商品期货、利率互换、收益互换、远期、掉期、期权等衍生金融工具）和监管机构允许投资的其他资产。具体资产投资比例为：固定收益类资产占产品资产总值比例80%-100%，权益类资产、商品及金融衍生品类资产和监管机构允许投资的其他资产占产品资产总值比例不高于20%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融合自上而下的宏观经济基本面分析和自下而上的资产深度研究，在投资固定收益类资产获得稳定投资收益的同时，通过挖掘权益和商品及金融衍生品类资产的投资机会，灵活动态调整资产配置，实现增厚收益，并且进行紧密的投后跟踪管理，严格控制产品投资风险。</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商品及金融衍生品类资产投资计划采用风险对冲策略，对冲是指同时进行两笔行情相关、方向相反、盈亏相抵的操作以降低风险。本理财产品利用期货对冲投资组合的市场风险，将市场风险敞口控制在较低水平，例如运用股指期货对理财产品持有的股票组合进行风险对冲，运用国债期货对债券组合进行风险对冲。通过上述做法，在严制波动的情况下获取多资产的投资收益。</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numPr>
          <w:ilvl w:val="0"/>
          <w:numId w:val="0"/>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highlight w:val="none"/>
          <w:lang w:eastAsia="zh-CN"/>
        </w:rPr>
      </w:pPr>
      <w:r>
        <w:rPr>
          <w:rFonts w:hint="eastAsia" w:ascii="楷体" w:hAnsi="楷体" w:eastAsia="楷体" w:cs="楷体"/>
          <w:sz w:val="21"/>
          <w:szCs w:val="21"/>
          <w:highlight w:val="none"/>
        </w:rPr>
        <w:t>①苏豪弘业期货股份有限</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lang w:eastAsia="zh-CN"/>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lang w:eastAsia="zh-CN"/>
        </w:rPr>
        <w:t>②江苏省国际信托有限责任公司：江苏省国际信托有限责任公司是经江苏省人民政府和中国银行业监督管理委员会批准设立的非银行金融机构，是江苏省国信集团的主要成员企业之一，专业从事金融信托业务。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highlight w:val="none"/>
          <w:lang w:val="en-US" w:eastAsia="zh-CN"/>
        </w:rPr>
        <w:t>③</w:t>
      </w:r>
      <w:r>
        <w:rPr>
          <w:rFonts w:hint="eastAsia" w:ascii="楷体" w:hAnsi="楷体" w:eastAsia="楷体" w:cs="楷体"/>
          <w:sz w:val="21"/>
          <w:szCs w:val="21"/>
          <w:highlight w:val="none"/>
          <w:lang w:eastAsia="zh-CN"/>
        </w:rPr>
        <w:t>华安基金管理有限公司：华安基金管理有限公司于1998年6月4日经中国证监会证监基字[1998]20号文核准成立，注册资本为5,000万元人民币。2000年8月18日经中国证监会证监基金字[2000]29号文核准，公司注册资本增加到15,000万元人民币。</w:t>
      </w:r>
      <w:r>
        <w:rPr>
          <w:rFonts w:hint="eastAsia" w:ascii="楷体" w:hAnsi="楷体" w:eastAsia="楷体" w:cs="楷体"/>
          <w:sz w:val="21"/>
          <w:szCs w:val="21"/>
          <w:highlight w:val="none"/>
          <w:lang w:val="en-US" w:eastAsia="zh-CN"/>
        </w:rPr>
        <w:t>④</w:t>
      </w:r>
      <w:r>
        <w:rPr>
          <w:rFonts w:hint="eastAsia" w:ascii="楷体" w:hAnsi="楷体" w:eastAsia="楷体" w:cs="楷体"/>
          <w:sz w:val="21"/>
          <w:szCs w:val="21"/>
          <w:highlight w:val="none"/>
          <w:lang w:eastAsia="zh-CN"/>
        </w:rPr>
        <w:t>国泰君安期货有限公司：国泰君安期货有限公司是国泰君安证券股份有限公司全资子公司，是首批获得金融期货全面结算业务资格的期货公司。公司能够为各类客户提供商品期货经纪、金融期货经纪、期货交易咨询、资产管理、场外衍生品、期现业务、跨境衍生品等综合金融服务。</w:t>
      </w:r>
      <w:r>
        <w:rPr>
          <w:rFonts w:hint="eastAsia" w:ascii="楷体" w:hAnsi="楷体" w:eastAsia="楷体" w:cs="楷体"/>
          <w:sz w:val="21"/>
          <w:szCs w:val="21"/>
          <w:highlight w:val="none"/>
          <w:lang w:val="en-US" w:eastAsia="zh-CN"/>
        </w:rPr>
        <w:t>⑤</w:t>
      </w:r>
      <w:r>
        <w:rPr>
          <w:rFonts w:hint="eastAsia" w:ascii="楷体" w:hAnsi="楷体" w:eastAsia="楷体" w:cs="楷体"/>
          <w:sz w:val="21"/>
          <w:szCs w:val="21"/>
          <w:highlight w:val="none"/>
          <w:lang w:eastAsia="zh-CN"/>
        </w:rPr>
        <w:t>广发证券资产管理（广东）有限公司：广发证券资产管理（广东）有限公司的前身是广发证券资产管理部，于2014年1月2日成立，为广发证券股份有限公司全资控股的子公司，注册资本10亿元人民币，是华南地区首家券商系资产管理公司。公司经营范围包括：证券资产管理业务（含合格境内机构投资者境外证券投资管理业务）。</w:t>
      </w:r>
      <w:r>
        <w:rPr>
          <w:rFonts w:hint="eastAsia" w:ascii="楷体" w:hAnsi="楷体" w:eastAsia="楷体" w:cs="楷体"/>
          <w:sz w:val="21"/>
          <w:szCs w:val="21"/>
          <w:highlight w:val="none"/>
          <w:lang w:val="en-US" w:eastAsia="zh-CN"/>
        </w:rPr>
        <w:t>⑥安联保险资产管理有限公司</w:t>
      </w:r>
      <w:r>
        <w:rPr>
          <w:rFonts w:hint="eastAsia" w:ascii="楷体" w:hAnsi="楷体" w:eastAsia="楷体" w:cs="楷体"/>
          <w:sz w:val="21"/>
          <w:szCs w:val="21"/>
          <w:highlight w:val="none"/>
          <w:lang w:eastAsia="zh-CN"/>
        </w:rPr>
        <w:t>：安联保险资产管理有限公司（简称安联资管或公司）于2021年7月27日获得中国银行保险监督管理委员会的开业批复，成为中国获批开业的外资独资保险资产管理公司，注册资本为五亿元人民币，注册地北京。</w:t>
      </w:r>
      <w:r>
        <w:rPr>
          <w:rFonts w:hint="eastAsia" w:ascii="楷体" w:hAnsi="楷体" w:eastAsia="楷体" w:cs="楷体"/>
          <w:sz w:val="21"/>
          <w:szCs w:val="21"/>
          <w:highlight w:val="none"/>
          <w:lang w:val="en-US" w:eastAsia="zh-CN"/>
        </w:rPr>
        <w:t>⑦国投泰康信托有限公司</w:t>
      </w:r>
      <w:r>
        <w:rPr>
          <w:rFonts w:hint="eastAsia" w:ascii="楷体" w:hAnsi="楷体" w:eastAsia="楷体" w:cs="楷体"/>
          <w:sz w:val="21"/>
          <w:szCs w:val="21"/>
          <w:highlight w:val="none"/>
          <w:lang w:eastAsia="zh-CN"/>
        </w:rPr>
        <w:t>：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r>
        <w:rPr>
          <w:rFonts w:hint="eastAsia" w:ascii="楷体" w:hAnsi="楷体" w:eastAsia="楷体" w:cs="楷体"/>
          <w:sz w:val="21"/>
          <w:szCs w:val="21"/>
          <w:highlight w:val="none"/>
          <w:lang w:val="en-US" w:eastAsia="zh-CN"/>
        </w:rPr>
        <w:t>⑧华鑫证券有限责任公司：华鑫证券有限责任公司是经中国证券监督管理委员会批准于2001年3月在深圳市注册成立的全国性综合类证券经营机构，注册资本36亿元，经营范围为证券经纪；证券投资咨询；与证券交易、证券投资活动有关的财务顾问；证券自营；证券资产管理；证券承销与保荐；证券投资基金代销；为期货公司提供中间介绍业务；融资融券业务；代销金融产品业务；证券投资基金托管业务。⑨</w:t>
      </w:r>
      <w:r>
        <w:rPr>
          <w:rFonts w:hint="eastAsia" w:ascii="楷体" w:hAnsi="楷体" w:eastAsia="楷体" w:cs="楷体"/>
          <w:sz w:val="21"/>
          <w:szCs w:val="21"/>
          <w:highlight w:val="none"/>
          <w:lang w:eastAsia="zh-CN"/>
        </w:rPr>
        <w:t>永诚保险资产管理有限公司：永诚保险资产管理有限公司是由永诚财产保险股份有限公司全资发起组建的保险资产管理公司，公司注册于浙江省宁波市，注册资本金为人民币3亿元。</w:t>
      </w:r>
      <w:r>
        <w:rPr>
          <w:rFonts w:hint="eastAsia" w:ascii="楷体" w:hAnsi="楷体" w:eastAsia="楷体" w:cs="楷体"/>
          <w:sz w:val="21"/>
          <w:szCs w:val="21"/>
          <w:highlight w:val="none"/>
          <w:lang w:eastAsia="zh-CN"/>
        </w:rPr>
        <w:fldChar w:fldCharType="begin"/>
      </w:r>
      <w:r>
        <w:rPr>
          <w:rFonts w:hint="eastAsia" w:ascii="楷体" w:hAnsi="楷体" w:eastAsia="楷体" w:cs="楷体"/>
          <w:sz w:val="21"/>
          <w:szCs w:val="21"/>
          <w:highlight w:val="none"/>
          <w:lang w:eastAsia="zh-CN"/>
        </w:rPr>
        <w:instrText xml:space="preserve"> = 10 \* GB3 \* MERGEFORMAT </w:instrText>
      </w:r>
      <w:r>
        <w:rPr>
          <w:rFonts w:hint="eastAsia" w:ascii="楷体" w:hAnsi="楷体" w:eastAsia="楷体" w:cs="楷体"/>
          <w:sz w:val="21"/>
          <w:szCs w:val="21"/>
          <w:highlight w:val="none"/>
          <w:lang w:eastAsia="zh-CN"/>
        </w:rPr>
        <w:fldChar w:fldCharType="separate"/>
      </w:r>
      <w:r>
        <w:rPr>
          <w:rFonts w:hint="eastAsia" w:ascii="楷体" w:hAnsi="楷体" w:eastAsia="楷体" w:cs="楷体"/>
        </w:rPr>
        <w:t>⑩</w:t>
      </w:r>
      <w:r>
        <w:rPr>
          <w:rFonts w:hint="eastAsia" w:ascii="楷体" w:hAnsi="楷体" w:eastAsia="楷体" w:cs="楷体"/>
          <w:sz w:val="21"/>
          <w:szCs w:val="21"/>
          <w:highlight w:val="none"/>
          <w:lang w:eastAsia="zh-CN"/>
        </w:rPr>
        <w:fldChar w:fldCharType="end"/>
      </w:r>
      <w:r>
        <w:rPr>
          <w:rFonts w:hint="eastAsia" w:ascii="楷体" w:hAnsi="楷体" w:eastAsia="楷体" w:cs="楷体"/>
          <w:sz w:val="21"/>
          <w:szCs w:val="21"/>
          <w:highlight w:val="none"/>
          <w:lang w:eastAsia="zh-CN"/>
        </w:rPr>
        <w:t>华润深国投信托有限公司：华润信托于1982年8月24日成立，原名为深圳市信托投资公司。目前，公司注册资本人民币110亿元，华润金控投资有限公司持有公司51%股权，深圳市投资控股有限公司持有公司49%股权。</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w:t>
      </w:r>
      <w:r>
        <w:rPr>
          <w:rFonts w:hint="eastAsia" w:ascii="楷体" w:hAnsi="楷体" w:eastAsia="楷体"/>
          <w:color w:val="auto"/>
          <w:sz w:val="21"/>
          <w:szCs w:val="21"/>
          <w:highlight w:val="none"/>
          <w:lang w:val="en-US" w:eastAsia="zh-CN"/>
        </w:rPr>
        <w:t>2</w:t>
      </w:r>
      <w:r>
        <w:rPr>
          <w:rFonts w:hint="eastAsia" w:ascii="楷体" w:hAnsi="楷体" w:eastAsia="楷体"/>
          <w:color w:val="auto"/>
          <w:sz w:val="21"/>
          <w:szCs w:val="21"/>
          <w:highlight w:val="none"/>
        </w:rPr>
        <w:t>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在开放日前一工作日内，本理财产品7个工作日可变现资产的可变现价值应当不低于本产品净资产的10%。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本理财产品投资不存在活跃交易市场并且需要采用估值技术确定公允价值的资产比例不得达到或超过本产品净资产的50%。非因管理人主观因素导致突破前款规定比例限制的,本理财产品不得新增投资上述资产。</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产品认购</w:t>
      </w:r>
    </w:p>
    <w:p>
      <w:pPr>
        <w:keepNext w:val="0"/>
        <w:keepLines w:val="0"/>
        <w:pageBreakBefore w:val="0"/>
        <w:widowControl w:val="0"/>
        <w:numPr>
          <w:ilvl w:val="0"/>
          <w:numId w:val="8"/>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认购方式</w:t>
      </w:r>
      <w:r>
        <w:rPr>
          <w:rFonts w:hint="eastAsia" w:ascii="楷体" w:hAnsi="楷体" w:eastAsia="楷体" w:cs="Calibri"/>
          <w:b w:val="0"/>
          <w:bCs w:val="0"/>
          <w:color w:val="auto"/>
          <w:sz w:val="21"/>
          <w:szCs w:val="21"/>
          <w:highlight w:val="none"/>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keepNext w:val="0"/>
        <w:keepLines w:val="0"/>
        <w:pageBreakBefore w:val="0"/>
        <w:widowControl w:val="0"/>
        <w:numPr>
          <w:ilvl w:val="0"/>
          <w:numId w:val="8"/>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认购份额的计算</w:t>
      </w:r>
    </w:p>
    <w:p>
      <w:pPr>
        <w:ind w:firstLine="420" w:firstLineChars="200"/>
        <w:rPr>
          <w:rFonts w:hint="eastAsia"/>
          <w:highlight w:val="none"/>
        </w:rPr>
      </w:pP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认购金额</w:t>
      </w:r>
      <w:r>
        <w:rPr>
          <w:rFonts w:ascii="楷体" w:hAnsi="楷体" w:eastAsia="楷体"/>
          <w:color w:val="auto"/>
          <w:sz w:val="21"/>
          <w:szCs w:val="21"/>
          <w:highlight w:val="none"/>
        </w:rPr>
        <w:t>/</w:t>
      </w:r>
      <w:r>
        <w:rPr>
          <w:rFonts w:hint="eastAsia" w:ascii="楷体" w:hAnsi="楷体" w:eastAsia="楷体"/>
          <w:color w:val="auto"/>
          <w:sz w:val="21"/>
          <w:szCs w:val="21"/>
          <w:highlight w:val="none"/>
        </w:rPr>
        <w:t>产品</w:t>
      </w:r>
      <w:r>
        <w:rPr>
          <w:rFonts w:hint="eastAsia" w:ascii="楷体" w:hAnsi="楷体" w:eastAsia="楷体"/>
          <w:color w:val="auto"/>
          <w:sz w:val="21"/>
          <w:szCs w:val="21"/>
          <w:highlight w:val="none"/>
          <w:lang w:val="en-US" w:eastAsia="zh-CN"/>
        </w:rPr>
        <w:t>份额面值，</w:t>
      </w: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产品申购、赎回</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开放计划</w:t>
      </w:r>
    </w:p>
    <w:p>
      <w:pPr>
        <w:numPr>
          <w:ilvl w:val="0"/>
          <w:numId w:val="0"/>
        </w:numPr>
        <w:tabs>
          <w:tab w:val="left" w:pos="728"/>
        </w:tabs>
        <w:ind w:left="0" w:leftChars="0" w:firstLine="420" w:firstLineChars="200"/>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本产品</w:t>
      </w:r>
      <w:r>
        <w:rPr>
          <w:rFonts w:hint="eastAsia" w:ascii="楷体" w:hAnsi="楷体" w:eastAsia="楷体" w:cs="Calibri"/>
          <w:b w:val="0"/>
          <w:bCs/>
          <w:sz w:val="21"/>
          <w:szCs w:val="21"/>
          <w:highlight w:val="none"/>
          <w:lang w:val="en-US" w:eastAsia="zh-CN"/>
        </w:rPr>
        <w:t>封闭运作</w:t>
      </w:r>
      <w:r>
        <w:rPr>
          <w:rFonts w:hint="eastAsia" w:ascii="楷体" w:hAnsi="楷体" w:eastAsia="楷体" w:cs="Calibri"/>
          <w:b w:val="0"/>
          <w:bCs/>
          <w:sz w:val="21"/>
          <w:szCs w:val="21"/>
          <w:highlight w:val="none"/>
        </w:rPr>
        <w:t>期结束后</w:t>
      </w:r>
      <w:r>
        <w:rPr>
          <w:rFonts w:hint="eastAsia" w:ascii="楷体" w:hAnsi="楷体" w:eastAsia="楷体" w:cs="Calibri"/>
          <w:b w:val="0"/>
          <w:bCs/>
          <w:sz w:val="21"/>
          <w:szCs w:val="21"/>
          <w:highlight w:val="none"/>
          <w:lang w:val="en-US" w:eastAsia="zh-CN"/>
        </w:rPr>
        <w:t>，按开放日接受投资者的申购/赎回申请，每个交易日为产品开放日（T日），其中投资者赎回份额需满足最短持有时间。开放日闭市前的申购/赎回申请当日受理</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闭市后的申购/赎回申请</w:t>
      </w:r>
      <w:r>
        <w:rPr>
          <w:rFonts w:hint="eastAsia" w:ascii="楷体" w:hAnsi="楷体" w:eastAsia="楷体" w:cs="Calibri"/>
          <w:b w:val="0"/>
          <w:bCs/>
          <w:sz w:val="21"/>
          <w:szCs w:val="21"/>
          <w:highlight w:val="none"/>
        </w:rPr>
        <w:t>为预受理，视同下一</w:t>
      </w:r>
      <w:r>
        <w:rPr>
          <w:rFonts w:hint="eastAsia" w:ascii="楷体" w:hAnsi="楷体" w:eastAsia="楷体" w:cs="Calibri"/>
          <w:b w:val="0"/>
          <w:bCs/>
          <w:sz w:val="21"/>
          <w:szCs w:val="21"/>
          <w:highlight w:val="none"/>
          <w:lang w:val="en-US" w:eastAsia="zh-CN"/>
        </w:rPr>
        <w:t>开放</w:t>
      </w:r>
      <w:r>
        <w:rPr>
          <w:rFonts w:hint="eastAsia" w:ascii="楷体" w:hAnsi="楷体" w:eastAsia="楷体" w:cs="Calibri"/>
          <w:b w:val="0"/>
          <w:bCs/>
          <w:sz w:val="21"/>
          <w:szCs w:val="21"/>
          <w:highlight w:val="none"/>
        </w:rPr>
        <w:t>日</w:t>
      </w:r>
      <w:r>
        <w:rPr>
          <w:rFonts w:hint="eastAsia" w:ascii="楷体" w:hAnsi="楷体" w:eastAsia="楷体" w:cs="Calibri"/>
          <w:b w:val="0"/>
          <w:bCs/>
          <w:sz w:val="21"/>
          <w:szCs w:val="21"/>
          <w:highlight w:val="none"/>
          <w:lang w:val="en-US" w:eastAsia="zh-CN"/>
        </w:rPr>
        <w:t>申请。投资者</w:t>
      </w:r>
      <w:r>
        <w:rPr>
          <w:rFonts w:hint="eastAsia" w:ascii="楷体" w:hAnsi="楷体" w:eastAsia="楷体" w:cs="Calibri"/>
          <w:b w:val="0"/>
          <w:bCs/>
          <w:sz w:val="21"/>
          <w:szCs w:val="21"/>
          <w:highlight w:val="none"/>
        </w:rPr>
        <w:t>提交的申购/赎回申请可以在产品开放日</w:t>
      </w:r>
      <w:r>
        <w:rPr>
          <w:rFonts w:hint="eastAsia" w:ascii="楷体" w:hAnsi="楷体" w:eastAsia="楷体" w:cs="Calibri"/>
          <w:b w:val="0"/>
          <w:bCs/>
          <w:sz w:val="21"/>
          <w:szCs w:val="21"/>
          <w:highlight w:val="none"/>
          <w:lang w:val="en-US" w:eastAsia="zh-CN"/>
        </w:rPr>
        <w:t>闭市</w:t>
      </w:r>
      <w:r>
        <w:rPr>
          <w:rFonts w:hint="eastAsia" w:ascii="楷体" w:hAnsi="楷体" w:eastAsia="楷体" w:cs="Calibri"/>
          <w:b w:val="0"/>
          <w:bCs/>
          <w:sz w:val="21"/>
          <w:szCs w:val="21"/>
          <w:highlight w:val="none"/>
        </w:rPr>
        <w:t>前撤销，之后不得撤销。（</w:t>
      </w:r>
      <w:r>
        <w:rPr>
          <w:rFonts w:hint="eastAsia" w:ascii="楷体" w:hAnsi="楷体" w:eastAsia="楷体" w:cs="Calibri"/>
          <w:b w:val="0"/>
          <w:bCs/>
          <w:sz w:val="21"/>
          <w:szCs w:val="21"/>
          <w:highlight w:val="none"/>
          <w:lang w:val="en-US" w:eastAsia="zh-CN"/>
        </w:rPr>
        <w:t>开放日闭市时间为17:00，具体</w:t>
      </w:r>
      <w:r>
        <w:rPr>
          <w:rFonts w:hint="eastAsia" w:ascii="楷体" w:hAnsi="楷体" w:eastAsia="楷体" w:cs="Calibri"/>
          <w:b w:val="0"/>
          <w:bCs/>
          <w:sz w:val="21"/>
          <w:szCs w:val="21"/>
          <w:highlight w:val="none"/>
        </w:rPr>
        <w:t>以各销售机构设置为准）</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申购、赎回的规则</w:t>
      </w:r>
    </w:p>
    <w:p>
      <w:pPr>
        <w:numPr>
          <w:ilvl w:val="0"/>
          <w:numId w:val="10"/>
        </w:numPr>
        <w:tabs>
          <w:tab w:val="left" w:pos="728"/>
        </w:tabs>
        <w:ind w:left="0" w:firstLine="420" w:firstLineChars="200"/>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申购、赎回的原则：投资者必须在产品开放计划内提出申购、赎回申请</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rPr>
        <w:t>采用金额申购、份额赎回的原则，即申购以金额申请，赎回以份额申请。投资者提出申购申请时，须备足购买资金</w:t>
      </w:r>
      <w:r>
        <w:rPr>
          <w:rFonts w:hint="eastAsia" w:ascii="楷体" w:hAnsi="楷体" w:eastAsia="楷体" w:cs="Calibri"/>
          <w:b w:val="0"/>
          <w:bCs/>
          <w:sz w:val="21"/>
          <w:szCs w:val="21"/>
          <w:highlight w:val="none"/>
          <w:lang w:val="en-US" w:eastAsia="zh-CN"/>
        </w:rPr>
        <w:t>；</w:t>
      </w:r>
      <w:r>
        <w:rPr>
          <w:rFonts w:hint="eastAsia" w:ascii="楷体" w:hAnsi="楷体" w:eastAsia="楷体" w:cs="Calibri"/>
          <w:b w:val="0"/>
          <w:bCs/>
          <w:sz w:val="21"/>
          <w:szCs w:val="21"/>
          <w:highlight w:val="none"/>
        </w:rPr>
        <w:t>投资者提出赎回申请时，须有足够的理财产品份额余额。</w:t>
      </w:r>
    </w:p>
    <w:p>
      <w:pPr>
        <w:numPr>
          <w:ilvl w:val="0"/>
          <w:numId w:val="10"/>
        </w:numPr>
        <w:tabs>
          <w:tab w:val="left" w:pos="728"/>
        </w:tabs>
        <w:ind w:left="0" w:firstLine="420" w:firstLineChars="200"/>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申购、赎回的确认：投资者申购/赎回本产品时采用“未知价”原则，投资者在开放计划内通过销售机构提出的申购/赎回申请，管理人于</w:t>
      </w:r>
      <w:r>
        <w:rPr>
          <w:rFonts w:hint="eastAsia" w:ascii="楷体" w:hAnsi="楷体" w:eastAsia="楷体" w:cs="Calibri"/>
          <w:b w:val="0"/>
          <w:bCs/>
          <w:sz w:val="21"/>
          <w:szCs w:val="21"/>
          <w:highlight w:val="none"/>
          <w:lang w:val="en-US" w:eastAsia="zh-CN"/>
        </w:rPr>
        <w:t>T+1</w:t>
      </w:r>
      <w:r>
        <w:rPr>
          <w:rFonts w:hint="eastAsia" w:ascii="楷体" w:hAnsi="楷体" w:eastAsia="楷体" w:cs="Calibri"/>
          <w:b w:val="0"/>
          <w:bCs/>
          <w:sz w:val="21"/>
          <w:szCs w:val="21"/>
          <w:highlight w:val="none"/>
        </w:rPr>
        <w:t>日按开放日单位净值对申购/赎回申请予以统一</w:t>
      </w:r>
      <w:r>
        <w:rPr>
          <w:rFonts w:hint="eastAsia" w:ascii="楷体" w:hAnsi="楷体" w:eastAsia="楷体" w:cs="Calibri"/>
          <w:sz w:val="21"/>
          <w:szCs w:val="21"/>
          <w:highlight w:val="none"/>
        </w:rPr>
        <w:t>确认。</w:t>
      </w:r>
    </w:p>
    <w:p>
      <w:pPr>
        <w:ind w:firstLine="420" w:firstLineChars="200"/>
        <w:rPr>
          <w:rFonts w:hint="eastAsia" w:ascii="楷体" w:hAnsi="楷体" w:eastAsia="楷体"/>
          <w:b w:val="0"/>
          <w:bCs/>
          <w:sz w:val="21"/>
          <w:szCs w:val="21"/>
          <w:highlight w:val="none"/>
        </w:rPr>
      </w:pPr>
      <w:r>
        <w:rPr>
          <w:rFonts w:hint="eastAsia" w:ascii="楷体" w:hAnsi="楷体" w:eastAsia="楷体" w:cs="Calibri"/>
          <w:b w:val="0"/>
          <w:bCs/>
          <w:sz w:val="21"/>
          <w:szCs w:val="21"/>
          <w:highlight w:val="none"/>
          <w:lang w:val="en-US" w:eastAsia="zh-CN"/>
        </w:rPr>
        <w:t>管理人在份额登记日对投资者的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申请登记成功后并收到投资者全额交付的款项，视为投资者的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申请生效。投资者应在</w:t>
      </w:r>
      <w:r>
        <w:rPr>
          <w:rFonts w:hint="eastAsia" w:ascii="楷体" w:hAnsi="楷体" w:eastAsia="楷体"/>
          <w:b w:val="0"/>
          <w:bCs/>
          <w:sz w:val="21"/>
          <w:szCs w:val="21"/>
          <w:highlight w:val="none"/>
        </w:rPr>
        <w:t>开放日后</w:t>
      </w:r>
      <w:r>
        <w:rPr>
          <w:rFonts w:hint="eastAsia" w:ascii="楷体" w:hAnsi="楷体" w:eastAsia="楷体" w:cs="Calibri"/>
          <w:b w:val="0"/>
          <w:bCs/>
          <w:sz w:val="21"/>
          <w:szCs w:val="21"/>
          <w:highlight w:val="none"/>
          <w:lang w:val="en-US" w:eastAsia="zh-CN"/>
        </w:rPr>
        <w:t>及时查询最终的成交情况以及</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的份额。</w:t>
      </w:r>
      <w:r>
        <w:rPr>
          <w:rFonts w:hint="eastAsia" w:ascii="楷体" w:hAnsi="楷体" w:eastAsia="楷体"/>
          <w:b w:val="0"/>
          <w:bCs/>
          <w:sz w:val="21"/>
          <w:szCs w:val="21"/>
          <w:highlight w:val="none"/>
        </w:rPr>
        <w:t>因投资者资金账户余额不足、司法冻结、不可抗力因素或其他不可归责于</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和销售机构的事由出现，造成申购</w:t>
      </w:r>
      <w:r>
        <w:rPr>
          <w:rFonts w:hint="eastAsia" w:ascii="楷体" w:hAnsi="楷体" w:eastAsia="楷体" w:cs="Calibri"/>
          <w:b w:val="0"/>
          <w:bCs/>
          <w:sz w:val="21"/>
          <w:szCs w:val="21"/>
          <w:highlight w:val="none"/>
          <w:lang w:val="en-US" w:eastAsia="zh-CN"/>
        </w:rPr>
        <w:t>申请</w:t>
      </w:r>
      <w:r>
        <w:rPr>
          <w:rFonts w:hint="eastAsia" w:ascii="楷体" w:hAnsi="楷体" w:eastAsia="楷体"/>
          <w:b w:val="0"/>
          <w:bCs/>
          <w:sz w:val="21"/>
          <w:szCs w:val="21"/>
          <w:highlight w:val="none"/>
        </w:rPr>
        <w:t>未被确认的，</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和销售机构不承担任何责任。</w:t>
      </w:r>
    </w:p>
    <w:p>
      <w:pPr>
        <w:ind w:firstLine="420" w:firstLineChars="200"/>
        <w:rPr>
          <w:rFonts w:hint="eastAsia" w:ascii="楷体" w:hAnsi="楷体" w:eastAsia="楷体"/>
          <w:b w:val="0"/>
          <w:bCs/>
          <w:sz w:val="21"/>
          <w:szCs w:val="21"/>
          <w:highlight w:val="none"/>
        </w:rPr>
      </w:pPr>
      <w:r>
        <w:rPr>
          <w:rFonts w:hint="eastAsia" w:ascii="楷体" w:hAnsi="楷体" w:eastAsia="楷体"/>
          <w:b w:val="0"/>
          <w:bCs/>
          <w:sz w:val="21"/>
          <w:szCs w:val="21"/>
          <w:highlight w:val="none"/>
        </w:rPr>
        <w:t>投资者赎回资金将在确认日后</w:t>
      </w:r>
      <w:r>
        <w:rPr>
          <w:rFonts w:hint="eastAsia" w:ascii="楷体" w:hAnsi="楷体" w:eastAsia="楷体"/>
          <w:b w:val="0"/>
          <w:bCs/>
          <w:sz w:val="21"/>
          <w:szCs w:val="21"/>
          <w:highlight w:val="none"/>
          <w:lang w:val="en-US" w:eastAsia="zh-CN"/>
        </w:rPr>
        <w:t>4</w:t>
      </w:r>
      <w:r>
        <w:rPr>
          <w:rFonts w:hint="eastAsia" w:ascii="楷体" w:hAnsi="楷体" w:eastAsia="楷体"/>
          <w:b w:val="0"/>
          <w:bCs/>
          <w:sz w:val="21"/>
          <w:szCs w:val="21"/>
          <w:highlight w:val="none"/>
        </w:rPr>
        <w:t>个工作日内到达投资者资金账户。</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申购份额的计算</w:t>
      </w:r>
    </w:p>
    <w:p>
      <w:pPr>
        <w:ind w:firstLine="420" w:firstLineChars="200"/>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申购份额=申购金额/开放日产品单位净值</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申购份额以四舍五入的方法保留到小数点后两位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赎回金额的计算</w:t>
      </w:r>
    </w:p>
    <w:p>
      <w:pPr>
        <w:ind w:firstLine="420" w:firstLineChars="200"/>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赎回金额以四舍五入的方法保留到小数点后两位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巨额赎回：详见“产品要素”。</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特殊情形及处理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numPr>
          <w:ilvl w:val="0"/>
          <w:numId w:val="0"/>
        </w:numPr>
        <w:ind w:left="0" w:firstLine="420" w:firstLineChars="200"/>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widowControl w:val="0"/>
        <w:numPr>
          <w:ilvl w:val="0"/>
          <w:numId w:val="0"/>
        </w:numPr>
        <w:tabs>
          <w:tab w:val="left" w:pos="1092"/>
        </w:tabs>
        <w:ind w:firstLine="420" w:firstLineChars="200"/>
        <w:jc w:val="both"/>
        <w:rPr>
          <w:rFonts w:hint="eastAsia" w:ascii="楷体" w:hAnsi="楷体" w:eastAsia="楷体" w:cs="Calibri"/>
          <w:sz w:val="24"/>
          <w:szCs w:val="24"/>
          <w:highlight w:val="none"/>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lang w:val="en-US" w:eastAsia="zh-CN"/>
        </w:rPr>
      </w:pPr>
      <w:r>
        <w:rPr>
          <w:rFonts w:hint="eastAsia" w:ascii="楷体" w:hAnsi="楷体" w:eastAsia="楷体" w:cs="Times New Roman"/>
          <w:b/>
          <w:sz w:val="21"/>
          <w:szCs w:val="21"/>
          <w:highlight w:val="none"/>
          <w:lang w:val="en-US" w:eastAsia="zh-CN"/>
        </w:rPr>
        <w:t>情景示例</w:t>
      </w:r>
    </w:p>
    <w:p>
      <w:pPr>
        <w:tabs>
          <w:tab w:val="left" w:pos="993"/>
        </w:tabs>
        <w:ind w:left="480"/>
        <w:rPr>
          <w:rFonts w:hint="eastAsia" w:ascii="楷体" w:hAnsi="楷体" w:eastAsia="楷体" w:cs="Calibri"/>
          <w:b/>
          <w:sz w:val="21"/>
          <w:szCs w:val="21"/>
          <w:highlight w:val="none"/>
          <w:u w:val="single"/>
        </w:rPr>
      </w:pPr>
      <w:r>
        <w:rPr>
          <w:rFonts w:hint="eastAsia" w:ascii="楷体" w:hAnsi="楷体" w:eastAsia="楷体" w:cs="Calibri"/>
          <w:b/>
          <w:sz w:val="21"/>
          <w:szCs w:val="21"/>
          <w:highlight w:val="none"/>
          <w:u w:val="single"/>
        </w:rPr>
        <w:t>以下示例均为假设情况，不代表本产品实际投资业绩。</w:t>
      </w:r>
    </w:p>
    <w:p>
      <w:pPr>
        <w:numPr>
          <w:ilvl w:val="0"/>
          <w:numId w:val="0"/>
        </w:numPr>
        <w:tabs>
          <w:tab w:val="left" w:pos="728"/>
        </w:tabs>
        <w:ind w:leftChars="200"/>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1.</w:t>
      </w:r>
      <w:r>
        <w:rPr>
          <w:rFonts w:hint="eastAsia" w:ascii="楷体" w:hAnsi="楷体" w:eastAsia="楷体" w:cs="Calibri"/>
          <w:sz w:val="21"/>
          <w:szCs w:val="21"/>
          <w:highlight w:val="none"/>
        </w:rPr>
        <w:t>情景一</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假定投资者于T日17:00前申购10,000元本产品A份额，当日申购并受理，受理当日产品单位净值为1.000100，投资者份额于T+1日确认。</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投资者确认份额=10,000/1.000100=9,999.00（份）</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客户份额持有</w:t>
      </w:r>
      <w:r>
        <w:rPr>
          <w:rFonts w:hint="eastAsia" w:ascii="楷体" w:hAnsi="楷体" w:eastAsia="楷体"/>
          <w:sz w:val="21"/>
          <w:szCs w:val="21"/>
          <w:highlight w:val="none"/>
          <w:lang w:val="en-US" w:eastAsia="zh-CN"/>
        </w:rPr>
        <w:t>45</w:t>
      </w:r>
      <w:r>
        <w:rPr>
          <w:rFonts w:hint="eastAsia" w:ascii="楷体" w:hAnsi="楷体" w:eastAsia="楷体"/>
          <w:sz w:val="21"/>
          <w:szCs w:val="21"/>
          <w:highlight w:val="none"/>
        </w:rPr>
        <w:t>天内不可赎回，假设持有期满</w:t>
      </w:r>
      <w:r>
        <w:rPr>
          <w:rFonts w:hint="eastAsia" w:ascii="楷体" w:hAnsi="楷体" w:eastAsia="楷体"/>
          <w:sz w:val="21"/>
          <w:szCs w:val="21"/>
          <w:highlight w:val="none"/>
          <w:lang w:val="en-US" w:eastAsia="zh-CN"/>
        </w:rPr>
        <w:t>45</w:t>
      </w:r>
      <w:r>
        <w:rPr>
          <w:rFonts w:hint="eastAsia" w:ascii="楷体" w:hAnsi="楷体" w:eastAsia="楷体"/>
          <w:sz w:val="21"/>
          <w:szCs w:val="21"/>
          <w:highlight w:val="none"/>
        </w:rPr>
        <w:t>日后客户发起赎回，投资者赎回时根据受理日单位净值兑付，为</w:t>
      </w:r>
      <w:bookmarkStart w:id="0" w:name="OLE_LINK1"/>
      <w:r>
        <w:rPr>
          <w:rFonts w:hint="eastAsia" w:ascii="楷体" w:hAnsi="楷体" w:eastAsia="楷体"/>
          <w:sz w:val="21"/>
          <w:szCs w:val="21"/>
          <w:highlight w:val="none"/>
        </w:rPr>
        <w:t>1.0</w:t>
      </w:r>
      <w:r>
        <w:rPr>
          <w:rFonts w:hint="eastAsia" w:ascii="楷体" w:hAnsi="楷体" w:eastAsia="楷体"/>
          <w:sz w:val="21"/>
          <w:szCs w:val="21"/>
          <w:highlight w:val="none"/>
          <w:lang w:val="en-US" w:eastAsia="zh-CN"/>
        </w:rPr>
        <w:t>04733</w:t>
      </w:r>
      <w:bookmarkEnd w:id="0"/>
      <w:r>
        <w:rPr>
          <w:rFonts w:hint="eastAsia" w:ascii="楷体" w:hAnsi="楷体" w:eastAsia="楷体"/>
          <w:sz w:val="21"/>
          <w:szCs w:val="21"/>
          <w:highlight w:val="none"/>
        </w:rPr>
        <w:t>，折合年化收益率</w:t>
      </w:r>
      <w:r>
        <w:rPr>
          <w:rFonts w:hint="eastAsia" w:ascii="楷体" w:hAnsi="楷体" w:eastAsia="楷体"/>
          <w:sz w:val="21"/>
          <w:szCs w:val="21"/>
          <w:highlight w:val="none"/>
          <w:lang w:val="en-US" w:eastAsia="zh-CN"/>
        </w:rPr>
        <w:t>3.76</w:t>
      </w:r>
      <w:r>
        <w:rPr>
          <w:rFonts w:hint="eastAsia" w:ascii="楷体" w:hAnsi="楷体" w:eastAsia="楷体"/>
          <w:sz w:val="21"/>
          <w:szCs w:val="21"/>
          <w:highlight w:val="none"/>
        </w:rPr>
        <w:t>%。</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投资者应得赎回资金＝9,999.00*1.</w:t>
      </w:r>
      <w:r>
        <w:rPr>
          <w:rFonts w:hint="eastAsia" w:ascii="楷体" w:hAnsi="楷体" w:eastAsia="楷体"/>
          <w:sz w:val="21"/>
          <w:szCs w:val="21"/>
          <w:highlight w:val="none"/>
          <w:lang w:val="en-US" w:eastAsia="zh-CN"/>
        </w:rPr>
        <w:t>004733=10046.33</w:t>
      </w:r>
      <w:r>
        <w:rPr>
          <w:rFonts w:hint="eastAsia" w:ascii="楷体" w:hAnsi="楷体" w:eastAsia="楷体"/>
          <w:sz w:val="21"/>
          <w:szCs w:val="21"/>
          <w:highlight w:val="none"/>
        </w:rPr>
        <w:t>元</w:t>
      </w:r>
    </w:p>
    <w:p>
      <w:pPr>
        <w:ind w:firstLine="420" w:firstLineChars="200"/>
        <w:rPr>
          <w:rFonts w:hint="eastAsia"/>
        </w:rPr>
      </w:pPr>
      <w:r>
        <w:rPr>
          <w:rFonts w:hint="eastAsia" w:ascii="楷体" w:hAnsi="楷体" w:eastAsia="楷体"/>
          <w:sz w:val="21"/>
          <w:szCs w:val="21"/>
          <w:highlight w:val="none"/>
        </w:rPr>
        <w:t>投资者投资收益＝</w:t>
      </w:r>
      <w:r>
        <w:rPr>
          <w:rFonts w:hint="eastAsia" w:ascii="楷体" w:hAnsi="楷体" w:eastAsia="楷体"/>
          <w:sz w:val="21"/>
          <w:szCs w:val="21"/>
          <w:highlight w:val="none"/>
          <w:lang w:val="en-US" w:eastAsia="zh-CN"/>
        </w:rPr>
        <w:t>10046.33-</w:t>
      </w:r>
      <w:r>
        <w:rPr>
          <w:rFonts w:hint="eastAsia" w:ascii="楷体" w:hAnsi="楷体" w:eastAsia="楷体"/>
          <w:sz w:val="21"/>
          <w:szCs w:val="21"/>
          <w:highlight w:val="none"/>
        </w:rPr>
        <w:t>10,000＝</w:t>
      </w:r>
      <w:r>
        <w:rPr>
          <w:rFonts w:hint="eastAsia" w:ascii="楷体" w:hAnsi="楷体" w:eastAsia="楷体"/>
          <w:sz w:val="21"/>
          <w:szCs w:val="21"/>
          <w:highlight w:val="none"/>
          <w:lang w:val="en-US" w:eastAsia="zh-CN"/>
        </w:rPr>
        <w:t>46.33</w:t>
      </w:r>
      <w:r>
        <w:rPr>
          <w:rFonts w:hint="eastAsia" w:ascii="楷体" w:hAnsi="楷体" w:eastAsia="楷体"/>
          <w:sz w:val="21"/>
          <w:szCs w:val="21"/>
          <w:highlight w:val="none"/>
        </w:rPr>
        <w:t>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2.情景二</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假定投资者于T日17:00前申购10,000元本产品A份额，当日申购并受理，受理当日产品单位净值为1.000100，投资者份额于T+1日确认。</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投资者确认份额=10,000/1.000100=9,999.00（份）</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客户份额持有</w:t>
      </w:r>
      <w:r>
        <w:rPr>
          <w:rFonts w:hint="eastAsia" w:ascii="楷体" w:hAnsi="楷体" w:eastAsia="楷体"/>
          <w:sz w:val="21"/>
          <w:szCs w:val="21"/>
          <w:highlight w:val="none"/>
          <w:lang w:val="en-US" w:eastAsia="zh-CN"/>
        </w:rPr>
        <w:t>45</w:t>
      </w:r>
      <w:r>
        <w:rPr>
          <w:rFonts w:hint="eastAsia" w:ascii="楷体" w:hAnsi="楷体" w:eastAsia="楷体"/>
          <w:sz w:val="21"/>
          <w:szCs w:val="21"/>
          <w:highlight w:val="none"/>
        </w:rPr>
        <w:t>天内不可赎回，假设持有期满</w:t>
      </w:r>
      <w:r>
        <w:rPr>
          <w:rFonts w:hint="eastAsia" w:ascii="楷体" w:hAnsi="楷体" w:eastAsia="楷体"/>
          <w:sz w:val="21"/>
          <w:szCs w:val="21"/>
          <w:highlight w:val="none"/>
          <w:lang w:val="en-US" w:eastAsia="zh-CN"/>
        </w:rPr>
        <w:t>45</w:t>
      </w:r>
      <w:r>
        <w:rPr>
          <w:rFonts w:hint="eastAsia" w:ascii="楷体" w:hAnsi="楷体" w:eastAsia="楷体"/>
          <w:sz w:val="21"/>
          <w:szCs w:val="21"/>
          <w:highlight w:val="none"/>
        </w:rPr>
        <w:t>日后客户发起赎回，投资者赎回时根据受理日单位净值兑付，为0.997500，客户实际亏损。</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投资者应得赎回资金＝9,999.00*0.997500＝9,974.00元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投资者投资收益=9,974.00-10,000=-26.00元</w:t>
      </w:r>
    </w:p>
    <w:p>
      <w:pPr>
        <w:ind w:firstLine="369" w:firstLineChars="176"/>
        <w:rPr>
          <w:rFonts w:hint="eastAsia" w:ascii="楷体" w:hAnsi="楷体" w:eastAsia="楷体" w:cs="Calibri"/>
          <w:sz w:val="21"/>
          <w:szCs w:val="21"/>
          <w:highlight w:val="none"/>
        </w:rPr>
      </w:pPr>
      <w:r>
        <w:rPr>
          <w:rFonts w:hint="eastAsia" w:ascii="楷体" w:hAnsi="楷体" w:eastAsia="楷体"/>
          <w:sz w:val="21"/>
          <w:szCs w:val="21"/>
          <w:highlight w:val="none"/>
        </w:rPr>
        <w:t>投资者投资本理财产品实际亏损</w:t>
      </w:r>
      <w:r>
        <w:rPr>
          <w:rFonts w:hint="eastAsia" w:ascii="楷体" w:hAnsi="楷体" w:eastAsia="楷体"/>
          <w:sz w:val="21"/>
          <w:szCs w:val="21"/>
          <w:highlight w:val="none"/>
          <w:lang w:val="en-US" w:eastAsia="zh-CN"/>
        </w:rPr>
        <w:t>26.00</w:t>
      </w:r>
      <w:r>
        <w:rPr>
          <w:rFonts w:hint="eastAsia" w:ascii="楷体" w:hAnsi="楷体" w:eastAsia="楷体"/>
          <w:sz w:val="21"/>
          <w:szCs w:val="21"/>
          <w:highlight w:val="none"/>
        </w:rPr>
        <w:t>元，</w:t>
      </w:r>
      <w:r>
        <w:rPr>
          <w:rFonts w:hint="eastAsia" w:ascii="楷体" w:hAnsi="楷体" w:eastAsia="楷体"/>
          <w:b/>
          <w:sz w:val="21"/>
          <w:szCs w:val="21"/>
          <w:highlight w:val="none"/>
          <w:u w:val="single"/>
        </w:rPr>
        <w:t>最不利的情形下，投资者可能损失100%本金。</w:t>
      </w:r>
    </w:p>
    <w:p>
      <w:pPr>
        <w:ind w:firstLine="373" w:firstLineChars="177"/>
        <w:rPr>
          <w:rFonts w:hint="eastAsia" w:ascii="楷体" w:hAnsi="楷体" w:eastAsia="楷体"/>
          <w:sz w:val="21"/>
          <w:szCs w:val="21"/>
          <w:highlight w:val="none"/>
        </w:rPr>
      </w:pPr>
      <w:r>
        <w:rPr>
          <w:rFonts w:hint="eastAsia" w:ascii="楷体" w:hAnsi="楷体" w:eastAsia="楷体"/>
          <w:b/>
          <w:sz w:val="21"/>
          <w:szCs w:val="21"/>
          <w:highlight w:val="none"/>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产品费用</w:t>
      </w:r>
    </w:p>
    <w:p>
      <w:pPr>
        <w:numPr>
          <w:ilvl w:val="0"/>
          <w:numId w:val="0"/>
        </w:numPr>
        <w:ind w:left="0" w:firstLine="420" w:firstLineChars="200"/>
        <w:rPr>
          <w:rFonts w:hint="default" w:ascii="楷体" w:hAnsi="楷体" w:eastAsia="楷体" w:cs="Calibri"/>
          <w:color w:val="auto"/>
          <w:sz w:val="21"/>
          <w:szCs w:val="21"/>
          <w:highlight w:val="none"/>
        </w:rPr>
      </w:pPr>
      <w:r>
        <w:rPr>
          <w:rFonts w:hint="eastAsia" w:ascii="楷体" w:hAnsi="楷体" w:eastAsia="楷体"/>
          <w:color w:val="auto"/>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color w:val="auto"/>
          <w:sz w:val="21"/>
          <w:szCs w:val="21"/>
          <w:highlight w:val="none"/>
        </w:rPr>
        <w:t>计提方法</w:t>
      </w:r>
      <w:r>
        <w:rPr>
          <w:rFonts w:hint="eastAsia" w:ascii="楷体" w:hAnsi="楷体" w:eastAsia="楷体" w:cs="Calibri"/>
          <w:color w:val="auto"/>
          <w:sz w:val="21"/>
          <w:szCs w:val="21"/>
          <w:highlight w:val="none"/>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r>
        <w:rPr>
          <w:rFonts w:hint="eastAsia" w:ascii="楷体" w:hAnsi="楷体" w:eastAsia="楷体" w:cs="Calibri"/>
          <w:color w:val="auto"/>
          <w:sz w:val="21"/>
          <w:szCs w:val="21"/>
          <w:highlight w:val="none"/>
          <w:lang w:eastAsia="zh-CN"/>
        </w:rPr>
        <w:t>。</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无</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lang w:val="en-US" w:eastAsia="zh-CN"/>
        </w:rPr>
        <w:t>费用计算</w:t>
      </w:r>
      <w:r>
        <w:rPr>
          <w:rFonts w:hint="eastAsia" w:ascii="楷体" w:hAnsi="楷体" w:eastAsia="楷体" w:cs="楷体"/>
          <w:color w:val="auto"/>
          <w:sz w:val="21"/>
          <w:szCs w:val="21"/>
          <w:highlight w:val="none"/>
        </w:rPr>
        <w:t>四舍五入保留至小数点后两位</w:t>
      </w:r>
      <w:r>
        <w:rPr>
          <w:rFonts w:hint="eastAsia" w:ascii="楷体" w:hAnsi="楷体" w:eastAsia="楷体" w:cs="楷体"/>
          <w:color w:val="auto"/>
          <w:sz w:val="21"/>
          <w:szCs w:val="21"/>
          <w:highlight w:val="none"/>
          <w:lang w:eastAsia="zh-CN"/>
        </w:rPr>
        <w:t>。</w:t>
      </w:r>
    </w:p>
    <w:p>
      <w:pPr>
        <w:ind w:firstLine="420" w:firstLineChars="200"/>
        <w:rPr>
          <w:rFonts w:hint="eastAsia"/>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highlight w:val="none"/>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产品估值</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估值对象</w:t>
      </w:r>
    </w:p>
    <w:p>
      <w:pPr>
        <w:ind w:firstLine="420" w:firstLineChars="200"/>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本产品所拥有的各类证券、银行存款、应收款项及其它资产及负债。</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估值要求</w:t>
      </w:r>
    </w:p>
    <w:p>
      <w:pPr>
        <w:keepNext w:val="0"/>
        <w:keepLines w:val="0"/>
        <w:pageBreakBefore w:val="0"/>
        <w:widowControl w:val="0"/>
        <w:numPr>
          <w:ilvl w:val="0"/>
          <w:numId w:val="14"/>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p>
    <w:p>
      <w:pPr>
        <w:keepNext w:val="0"/>
        <w:keepLines w:val="0"/>
        <w:pageBreakBefore w:val="0"/>
        <w:widowControl w:val="0"/>
        <w:numPr>
          <w:ilvl w:val="0"/>
          <w:numId w:val="14"/>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本产品单位净值精确到小数点后</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位，小数点</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位后截位。</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估值方法</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1.存款类资产、货币市场工具：以本金列示，逐日计提利息。</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2.货币市场基金：按公允价值进行估值，以估值截止时间点能够取得的最新每万份收益进行估值。</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3.债券类资产：按公允价值进行估值，采用市价、监管认可的第三方估值机构提供的估值价格进行估值。</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4.权益类资产：按公允价值进行估值，采用市价、监管认可的第三方估值机构提供的估值价格进行估值。</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5.商品及衍生品类资产：按公允价值进行估值，采用市价、第三方估值机构提供的估值价格、合理的估值技术或监管机构认可的其他估值方法进行估值。</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lang w:val="en-US" w:eastAsia="zh-CN"/>
        </w:rPr>
        <w:t>6.</w:t>
      </w:r>
      <w:r>
        <w:rPr>
          <w:rFonts w:hint="eastAsia" w:ascii="楷体" w:hAnsi="楷体" w:eastAsia="楷体"/>
          <w:b w:val="0"/>
          <w:bCs w:val="0"/>
          <w:color w:val="auto"/>
          <w:sz w:val="21"/>
          <w:szCs w:val="21"/>
          <w:highlight w:val="none"/>
        </w:rPr>
        <w:t>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lang w:val="en-US" w:eastAsia="zh-CN"/>
        </w:rPr>
        <w:t>7</w:t>
      </w:r>
      <w:r>
        <w:rPr>
          <w:rFonts w:hint="eastAsia" w:ascii="楷体" w:hAnsi="楷体" w:eastAsia="楷体"/>
          <w:b w:val="0"/>
          <w:bCs w:val="0"/>
          <w:color w:val="auto"/>
          <w:sz w:val="21"/>
          <w:szCs w:val="21"/>
          <w:highlight w:val="none"/>
        </w:rPr>
        <w:t>.其他资产：按公允价值进行估值。</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如有新增事项或变更事项，按国家法律法规及监管最新规定执行。</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估值错误的处理</w:t>
      </w:r>
    </w:p>
    <w:p>
      <w:pPr>
        <w:ind w:firstLine="420" w:firstLineChars="200"/>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暂停估值</w:t>
      </w:r>
    </w:p>
    <w:p>
      <w:pPr>
        <w:ind w:firstLine="420" w:firstLineChars="200"/>
        <w:rPr>
          <w:rFonts w:hint="eastAsia"/>
          <w:highlight w:val="none"/>
        </w:rPr>
      </w:pPr>
      <w:r>
        <w:rPr>
          <w:rFonts w:hint="eastAsia" w:ascii="楷体" w:hAnsi="楷体" w:eastAsia="楷体"/>
          <w:b w:val="0"/>
          <w:bCs w:val="0"/>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信息披露</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方式</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通过苏银理财有限责任公司官方网站（</w:t>
      </w:r>
      <w:r>
        <w:rPr>
          <w:rFonts w:ascii="楷体" w:hAnsi="楷体" w:eastAsia="楷体" w:cs="Calibri"/>
          <w:b w:val="0"/>
          <w:bCs w:val="0"/>
          <w:sz w:val="21"/>
          <w:szCs w:val="21"/>
          <w:highlight w:val="none"/>
        </w:rPr>
        <w:t>www</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suyinwealth</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com</w:t>
      </w:r>
      <w:r>
        <w:rPr>
          <w:rFonts w:hint="eastAsia" w:ascii="楷体" w:hAnsi="楷体" w:eastAsia="楷体" w:cs="Calibri"/>
          <w:b w:val="0"/>
          <w:bCs w:val="0"/>
          <w:sz w:val="21"/>
          <w:szCs w:val="21"/>
          <w:highlight w:val="none"/>
        </w:rPr>
        <w:t>）进行信息披露。</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将信息披露内容发送销售机构，由销售机构通过</w:t>
      </w:r>
      <w:r>
        <w:rPr>
          <w:rFonts w:hint="eastAsia" w:ascii="楷体" w:hAnsi="楷体" w:eastAsia="楷体" w:cs="Calibri"/>
          <w:b w:val="0"/>
          <w:bCs w:val="0"/>
          <w:sz w:val="21"/>
          <w:szCs w:val="21"/>
          <w:highlight w:val="none"/>
          <w:lang w:val="en-US" w:eastAsia="zh-CN"/>
        </w:rPr>
        <w:t>短信及</w:t>
      </w:r>
      <w:r>
        <w:rPr>
          <w:rFonts w:hint="eastAsia" w:ascii="楷体" w:hAnsi="楷体" w:eastAsia="楷体" w:cs="Calibri"/>
          <w:b w:val="0"/>
          <w:bCs w:val="0"/>
          <w:sz w:val="21"/>
          <w:szCs w:val="21"/>
          <w:highlight w:val="none"/>
        </w:rPr>
        <w:t>销售机构电子渠道和营业网点</w:t>
      </w:r>
      <w:r>
        <w:rPr>
          <w:rFonts w:hint="eastAsia" w:ascii="楷体" w:hAnsi="楷体" w:eastAsia="楷体" w:cs="Calibri"/>
          <w:b w:val="0"/>
          <w:bCs w:val="0"/>
          <w:sz w:val="21"/>
          <w:szCs w:val="21"/>
          <w:highlight w:val="none"/>
          <w:lang w:val="en-US" w:eastAsia="zh-CN"/>
        </w:rPr>
        <w:t>等方式</w:t>
      </w:r>
      <w:r>
        <w:rPr>
          <w:rFonts w:hint="eastAsia" w:ascii="楷体" w:hAnsi="楷体" w:eastAsia="楷体" w:cs="Calibri"/>
          <w:b w:val="0"/>
          <w:bCs w:val="0"/>
          <w:sz w:val="21"/>
          <w:szCs w:val="21"/>
          <w:highlight w:val="none"/>
        </w:rPr>
        <w:t>进行信息披露。</w:t>
      </w:r>
    </w:p>
    <w:p>
      <w:pPr>
        <w:numPr>
          <w:ilvl w:val="0"/>
          <w:numId w:val="0"/>
        </w:numPr>
        <w:ind w:left="0" w:firstLine="420" w:firstLineChars="200"/>
        <w:rPr>
          <w:rFonts w:ascii="楷体" w:hAnsi="楷体" w:eastAsia="楷体" w:cs="Calibri"/>
          <w:b w:val="0"/>
          <w:bCs w:val="0"/>
          <w:color w:val="auto"/>
          <w:sz w:val="21"/>
          <w:szCs w:val="21"/>
          <w:highlight w:val="none"/>
        </w:rPr>
      </w:pPr>
      <w:r>
        <w:rPr>
          <w:rFonts w:hint="eastAsia" w:ascii="楷体" w:hAnsi="楷体" w:eastAsia="楷体"/>
          <w:b w:val="0"/>
          <w:bCs w:val="0"/>
          <w:sz w:val="21"/>
          <w:szCs w:val="21"/>
          <w:highlight w:val="none"/>
        </w:rPr>
        <w:t>相关信息在发布或发出之日视为通知已送达投资者并生效，</w:t>
      </w:r>
      <w:r>
        <w:rPr>
          <w:rFonts w:hint="eastAsia" w:ascii="楷体" w:hAnsi="楷体" w:eastAsia="楷体"/>
          <w:b w:val="0"/>
          <w:bCs w:val="0"/>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b w:val="0"/>
          <w:bCs w:val="0"/>
          <w:sz w:val="21"/>
          <w:szCs w:val="21"/>
          <w:highlight w:val="none"/>
        </w:rPr>
        <w:t>请</w:t>
      </w:r>
      <w:r>
        <w:rPr>
          <w:rFonts w:hint="eastAsia" w:ascii="楷体" w:hAnsi="楷体" w:eastAsia="楷体"/>
          <w:b w:val="0"/>
          <w:bCs w:val="0"/>
          <w:sz w:val="21"/>
          <w:szCs w:val="21"/>
          <w:highlight w:val="none"/>
          <w:lang w:val="en-US" w:eastAsia="zh-CN"/>
        </w:rPr>
        <w:t>投资者</w:t>
      </w:r>
      <w:r>
        <w:rPr>
          <w:rFonts w:hint="eastAsia" w:ascii="楷体" w:hAnsi="楷体" w:eastAsia="楷体"/>
          <w:b w:val="0"/>
          <w:bCs w:val="0"/>
          <w:sz w:val="21"/>
          <w:szCs w:val="21"/>
          <w:highlight w:val="none"/>
        </w:rPr>
        <w:t>及时登陆苏银理财有限责任</w:t>
      </w:r>
      <w:r>
        <w:rPr>
          <w:rFonts w:hint="eastAsia" w:ascii="楷体" w:hAnsi="楷体" w:eastAsia="楷体"/>
          <w:b w:val="0"/>
          <w:bCs w:val="0"/>
          <w:sz w:val="21"/>
          <w:szCs w:val="21"/>
          <w:highlight w:val="none"/>
          <w:lang w:val="en-US" w:eastAsia="zh-CN"/>
        </w:rPr>
        <w:t>公司</w:t>
      </w:r>
      <w:r>
        <w:rPr>
          <w:rFonts w:hint="eastAsia" w:ascii="楷体" w:hAnsi="楷体" w:eastAsia="楷体"/>
          <w:b w:val="0"/>
          <w:bCs w:val="0"/>
          <w:sz w:val="21"/>
          <w:szCs w:val="21"/>
          <w:highlight w:val="none"/>
        </w:rPr>
        <w:t>官方网站或者向销售机构查询获取披露信息</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内容及时间</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其他</w:t>
      </w:r>
    </w:p>
    <w:p>
      <w:pPr>
        <w:keepNext w:val="0"/>
        <w:keepLines w:val="0"/>
        <w:pageBreakBefore w:val="0"/>
        <w:widowControl w:val="0"/>
        <w:numPr>
          <w:ilvl w:val="0"/>
          <w:numId w:val="18"/>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追索条款</w:t>
      </w:r>
    </w:p>
    <w:p>
      <w:pPr>
        <w:ind w:firstLine="420" w:firstLineChars="200"/>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keepNext w:val="0"/>
        <w:keepLines w:val="0"/>
        <w:pageBreakBefore w:val="0"/>
        <w:widowControl w:val="0"/>
        <w:numPr>
          <w:ilvl w:val="0"/>
          <w:numId w:val="18"/>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信息安全</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苏银理财及</w:t>
      </w:r>
      <w:r>
        <w:rPr>
          <w:rFonts w:hint="eastAsia" w:ascii="楷体" w:hAnsi="楷体" w:eastAsia="楷体"/>
          <w:b w:val="0"/>
          <w:bCs w:val="0"/>
          <w:color w:val="auto"/>
          <w:sz w:val="21"/>
          <w:szCs w:val="21"/>
          <w:highlight w:val="none"/>
          <w:lang w:val="en-US" w:eastAsia="zh-CN"/>
        </w:rPr>
        <w:t>销售</w:t>
      </w:r>
      <w:r>
        <w:rPr>
          <w:rFonts w:hint="eastAsia" w:ascii="楷体" w:hAnsi="楷体" w:eastAsia="楷体"/>
          <w:b w:val="0"/>
          <w:bCs w:val="0"/>
          <w:color w:val="auto"/>
          <w:sz w:val="21"/>
          <w:szCs w:val="21"/>
          <w:highlight w:val="none"/>
        </w:rPr>
        <w:t>机构将据相关法律、法规严格履行投资者信息保密责任，除监管机构或司法机关等有权机构外，不得对其他第三方提供任何投资者信息。</w:t>
      </w:r>
    </w:p>
    <w:p>
      <w:pPr>
        <w:keepNext w:val="0"/>
        <w:keepLines w:val="0"/>
        <w:pageBreakBefore w:val="0"/>
        <w:widowControl w:val="0"/>
        <w:numPr>
          <w:ilvl w:val="0"/>
          <w:numId w:val="18"/>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争议解决</w:t>
      </w:r>
    </w:p>
    <w:p>
      <w:pPr>
        <w:autoSpaceDE w:val="0"/>
        <w:autoSpaceDN w:val="0"/>
        <w:adjustRightInd w:val="0"/>
        <w:ind w:firstLine="420" w:firstLineChars="200"/>
        <w:rPr>
          <w:rFonts w:hint="eastAsia"/>
        </w:rPr>
      </w:pP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highlight w:val="none"/>
          <w:lang w:val="en-US" w:eastAsia="zh-CN"/>
        </w:rPr>
        <w:t>因本产品说明书</w:t>
      </w:r>
      <w:r>
        <w:rPr>
          <w:rFonts w:hint="eastAsia" w:ascii="楷体" w:hAnsi="楷体" w:eastAsia="楷体"/>
          <w:b w:val="0"/>
          <w:bCs w:val="0"/>
          <w:color w:val="auto"/>
          <w:sz w:val="21"/>
          <w:szCs w:val="21"/>
          <w:highlight w:val="none"/>
        </w:rPr>
        <w:t>引起的或与</w:t>
      </w: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635" b="190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3175" b="698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3175" b="698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3175" b="698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9C08A8C"/>
    <w:multiLevelType w:val="multilevel"/>
    <w:tmpl w:val="A9C08A8C"/>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D55A4D67"/>
    <w:multiLevelType w:val="multilevel"/>
    <w:tmpl w:val="D55A4D67"/>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9EB37A1"/>
    <w:multiLevelType w:val="multilevel"/>
    <w:tmpl w:val="F9EB37A1"/>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FABDD487"/>
    <w:multiLevelType w:val="multilevel"/>
    <w:tmpl w:val="FABDD487"/>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FFB76D11"/>
    <w:multiLevelType w:val="multilevel"/>
    <w:tmpl w:val="FFB76D11"/>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F62CAAB"/>
    <w:multiLevelType w:val="singleLevel"/>
    <w:tmpl w:val="2F62CAAB"/>
    <w:lvl w:ilvl="0" w:tentative="0">
      <w:start w:val="1"/>
      <w:numFmt w:val="decimal"/>
      <w:suff w:val="nothing"/>
      <w:lvlText w:val="%1."/>
      <w:lvlJc w:val="left"/>
      <w:pPr>
        <w:tabs>
          <w:tab w:val="left" w:pos="0"/>
        </w:tabs>
        <w:ind w:left="0" w:firstLine="0"/>
      </w:pPr>
      <w:rPr>
        <w:rFonts w:hint="default"/>
      </w:rPr>
    </w:lvl>
  </w:abstractNum>
  <w:abstractNum w:abstractNumId="12">
    <w:nsid w:val="3603F780"/>
    <w:multiLevelType w:val="multilevel"/>
    <w:tmpl w:val="3603F780"/>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14">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5">
    <w:nsid w:val="537C70F8"/>
    <w:multiLevelType w:val="multilevel"/>
    <w:tmpl w:val="537C70F8"/>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63B36EF9"/>
    <w:multiLevelType w:val="multilevel"/>
    <w:tmpl w:val="63B36EF9"/>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66CD7663"/>
    <w:multiLevelType w:val="multilevel"/>
    <w:tmpl w:val="66CD7663"/>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3"/>
  </w:num>
  <w:num w:numId="2">
    <w:abstractNumId w:val="15"/>
  </w:num>
  <w:num w:numId="3">
    <w:abstractNumId w:val="3"/>
  </w:num>
  <w:num w:numId="4">
    <w:abstractNumId w:val="2"/>
  </w:num>
  <w:num w:numId="5">
    <w:abstractNumId w:val="8"/>
  </w:num>
  <w:num w:numId="6">
    <w:abstractNumId w:val="4"/>
  </w:num>
  <w:num w:numId="7">
    <w:abstractNumId w:val="14"/>
  </w:num>
  <w:num w:numId="8">
    <w:abstractNumId w:val="16"/>
  </w:num>
  <w:num w:numId="9">
    <w:abstractNumId w:val="7"/>
  </w:num>
  <w:num w:numId="10">
    <w:abstractNumId w:val="10"/>
  </w:num>
  <w:num w:numId="11">
    <w:abstractNumId w:val="9"/>
  </w:num>
  <w:num w:numId="12">
    <w:abstractNumId w:val="0"/>
  </w:num>
  <w:num w:numId="13">
    <w:abstractNumId w:val="17"/>
  </w:num>
  <w:num w:numId="14">
    <w:abstractNumId w:val="11"/>
  </w:num>
  <w:num w:numId="15">
    <w:abstractNumId w:val="1"/>
  </w:num>
  <w:num w:numId="16">
    <w:abstractNumId w:val="12"/>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2F"/>
    <w:rsid w:val="00001D6B"/>
    <w:rsid w:val="00001E2F"/>
    <w:rsid w:val="00002389"/>
    <w:rsid w:val="000025C6"/>
    <w:rsid w:val="00003606"/>
    <w:rsid w:val="000043F8"/>
    <w:rsid w:val="000048B0"/>
    <w:rsid w:val="00004FA3"/>
    <w:rsid w:val="00005B01"/>
    <w:rsid w:val="00007563"/>
    <w:rsid w:val="00007F77"/>
    <w:rsid w:val="000101E4"/>
    <w:rsid w:val="0001103A"/>
    <w:rsid w:val="000120EF"/>
    <w:rsid w:val="000130AA"/>
    <w:rsid w:val="000131EF"/>
    <w:rsid w:val="00013628"/>
    <w:rsid w:val="00014334"/>
    <w:rsid w:val="00015A92"/>
    <w:rsid w:val="00015D58"/>
    <w:rsid w:val="00016232"/>
    <w:rsid w:val="00017AB0"/>
    <w:rsid w:val="000202D4"/>
    <w:rsid w:val="0002052D"/>
    <w:rsid w:val="000206F2"/>
    <w:rsid w:val="00020A6F"/>
    <w:rsid w:val="00021007"/>
    <w:rsid w:val="00022C9F"/>
    <w:rsid w:val="00023BA8"/>
    <w:rsid w:val="0002422A"/>
    <w:rsid w:val="000247F9"/>
    <w:rsid w:val="00027967"/>
    <w:rsid w:val="00027E0E"/>
    <w:rsid w:val="00027E61"/>
    <w:rsid w:val="00027F48"/>
    <w:rsid w:val="0003072E"/>
    <w:rsid w:val="00030D69"/>
    <w:rsid w:val="00031806"/>
    <w:rsid w:val="00031F80"/>
    <w:rsid w:val="00033EF7"/>
    <w:rsid w:val="00034890"/>
    <w:rsid w:val="000348C1"/>
    <w:rsid w:val="00035097"/>
    <w:rsid w:val="00036482"/>
    <w:rsid w:val="000372DB"/>
    <w:rsid w:val="00037CC9"/>
    <w:rsid w:val="000405B1"/>
    <w:rsid w:val="00042DCC"/>
    <w:rsid w:val="00043D5F"/>
    <w:rsid w:val="000461C3"/>
    <w:rsid w:val="000469D0"/>
    <w:rsid w:val="00046E92"/>
    <w:rsid w:val="00050975"/>
    <w:rsid w:val="00050DF3"/>
    <w:rsid w:val="00050E5A"/>
    <w:rsid w:val="00051317"/>
    <w:rsid w:val="00051703"/>
    <w:rsid w:val="0005219D"/>
    <w:rsid w:val="000532AB"/>
    <w:rsid w:val="00053BD9"/>
    <w:rsid w:val="00054854"/>
    <w:rsid w:val="000554B0"/>
    <w:rsid w:val="00055892"/>
    <w:rsid w:val="00056102"/>
    <w:rsid w:val="00056289"/>
    <w:rsid w:val="00057D3B"/>
    <w:rsid w:val="00060571"/>
    <w:rsid w:val="00061D74"/>
    <w:rsid w:val="00062791"/>
    <w:rsid w:val="000636A6"/>
    <w:rsid w:val="00063EE4"/>
    <w:rsid w:val="0006404F"/>
    <w:rsid w:val="00064F2B"/>
    <w:rsid w:val="000650CF"/>
    <w:rsid w:val="0006590E"/>
    <w:rsid w:val="00066F56"/>
    <w:rsid w:val="000677EE"/>
    <w:rsid w:val="000679B3"/>
    <w:rsid w:val="00067F18"/>
    <w:rsid w:val="00070D08"/>
    <w:rsid w:val="000713B1"/>
    <w:rsid w:val="00071418"/>
    <w:rsid w:val="00071581"/>
    <w:rsid w:val="00072647"/>
    <w:rsid w:val="0007293A"/>
    <w:rsid w:val="00072D1F"/>
    <w:rsid w:val="0007366C"/>
    <w:rsid w:val="00074189"/>
    <w:rsid w:val="00074306"/>
    <w:rsid w:val="00077C7D"/>
    <w:rsid w:val="000807AE"/>
    <w:rsid w:val="00080C2C"/>
    <w:rsid w:val="00081AD6"/>
    <w:rsid w:val="0008269B"/>
    <w:rsid w:val="00083410"/>
    <w:rsid w:val="0008386F"/>
    <w:rsid w:val="000853F6"/>
    <w:rsid w:val="000867A8"/>
    <w:rsid w:val="00087036"/>
    <w:rsid w:val="00087EDB"/>
    <w:rsid w:val="000914A2"/>
    <w:rsid w:val="000918B5"/>
    <w:rsid w:val="00093C11"/>
    <w:rsid w:val="00094566"/>
    <w:rsid w:val="00094631"/>
    <w:rsid w:val="00094EA8"/>
    <w:rsid w:val="0009533A"/>
    <w:rsid w:val="00096382"/>
    <w:rsid w:val="00096F94"/>
    <w:rsid w:val="0009795C"/>
    <w:rsid w:val="00097F80"/>
    <w:rsid w:val="000A0CF5"/>
    <w:rsid w:val="000A1E61"/>
    <w:rsid w:val="000A2D2D"/>
    <w:rsid w:val="000A2E68"/>
    <w:rsid w:val="000A326F"/>
    <w:rsid w:val="000A45AB"/>
    <w:rsid w:val="000A5306"/>
    <w:rsid w:val="000A5A45"/>
    <w:rsid w:val="000A5AC2"/>
    <w:rsid w:val="000B0078"/>
    <w:rsid w:val="000B22CD"/>
    <w:rsid w:val="000B2615"/>
    <w:rsid w:val="000B28FE"/>
    <w:rsid w:val="000B3B58"/>
    <w:rsid w:val="000B3EFD"/>
    <w:rsid w:val="000B4253"/>
    <w:rsid w:val="000B52D9"/>
    <w:rsid w:val="000B659B"/>
    <w:rsid w:val="000B6AEF"/>
    <w:rsid w:val="000B6E9F"/>
    <w:rsid w:val="000C12E3"/>
    <w:rsid w:val="000C42F9"/>
    <w:rsid w:val="000C44FD"/>
    <w:rsid w:val="000C54ED"/>
    <w:rsid w:val="000C6143"/>
    <w:rsid w:val="000C6B07"/>
    <w:rsid w:val="000C7382"/>
    <w:rsid w:val="000D0059"/>
    <w:rsid w:val="000D08F8"/>
    <w:rsid w:val="000D10C9"/>
    <w:rsid w:val="000D1F0D"/>
    <w:rsid w:val="000D2387"/>
    <w:rsid w:val="000D35BD"/>
    <w:rsid w:val="000D4F83"/>
    <w:rsid w:val="000D68C5"/>
    <w:rsid w:val="000D71CF"/>
    <w:rsid w:val="000D7225"/>
    <w:rsid w:val="000D722C"/>
    <w:rsid w:val="000D7809"/>
    <w:rsid w:val="000E0485"/>
    <w:rsid w:val="000E2E7D"/>
    <w:rsid w:val="000E34A7"/>
    <w:rsid w:val="000E34F3"/>
    <w:rsid w:val="000E400B"/>
    <w:rsid w:val="000E4205"/>
    <w:rsid w:val="000E575B"/>
    <w:rsid w:val="000E6227"/>
    <w:rsid w:val="000E6310"/>
    <w:rsid w:val="000E7CF6"/>
    <w:rsid w:val="000E7E08"/>
    <w:rsid w:val="000E7E53"/>
    <w:rsid w:val="000F0433"/>
    <w:rsid w:val="000F0802"/>
    <w:rsid w:val="000F0B34"/>
    <w:rsid w:val="000F1D3C"/>
    <w:rsid w:val="000F2129"/>
    <w:rsid w:val="000F3DD2"/>
    <w:rsid w:val="000F4243"/>
    <w:rsid w:val="000F4ABF"/>
    <w:rsid w:val="000F5B66"/>
    <w:rsid w:val="000F5FF6"/>
    <w:rsid w:val="000F65C5"/>
    <w:rsid w:val="000F7056"/>
    <w:rsid w:val="000F7D2C"/>
    <w:rsid w:val="000F7F9F"/>
    <w:rsid w:val="00100F0C"/>
    <w:rsid w:val="001025A3"/>
    <w:rsid w:val="0010303D"/>
    <w:rsid w:val="001030B4"/>
    <w:rsid w:val="001036A0"/>
    <w:rsid w:val="0010457E"/>
    <w:rsid w:val="001065F5"/>
    <w:rsid w:val="00106AD4"/>
    <w:rsid w:val="00106C25"/>
    <w:rsid w:val="00106C69"/>
    <w:rsid w:val="00110417"/>
    <w:rsid w:val="00110A34"/>
    <w:rsid w:val="00111670"/>
    <w:rsid w:val="001116B6"/>
    <w:rsid w:val="00111E3E"/>
    <w:rsid w:val="001126F6"/>
    <w:rsid w:val="001128B8"/>
    <w:rsid w:val="00113CAA"/>
    <w:rsid w:val="0011567D"/>
    <w:rsid w:val="00115E7F"/>
    <w:rsid w:val="00121925"/>
    <w:rsid w:val="00122F58"/>
    <w:rsid w:val="0012352A"/>
    <w:rsid w:val="00123893"/>
    <w:rsid w:val="001238E9"/>
    <w:rsid w:val="0012411A"/>
    <w:rsid w:val="001242DE"/>
    <w:rsid w:val="00125B8C"/>
    <w:rsid w:val="0012647A"/>
    <w:rsid w:val="00126CA4"/>
    <w:rsid w:val="0013007E"/>
    <w:rsid w:val="00130849"/>
    <w:rsid w:val="00130EED"/>
    <w:rsid w:val="00130F7B"/>
    <w:rsid w:val="00132F8C"/>
    <w:rsid w:val="001334DD"/>
    <w:rsid w:val="0013364F"/>
    <w:rsid w:val="00133916"/>
    <w:rsid w:val="00133B98"/>
    <w:rsid w:val="00133F17"/>
    <w:rsid w:val="0013472F"/>
    <w:rsid w:val="00134733"/>
    <w:rsid w:val="001359ED"/>
    <w:rsid w:val="00136031"/>
    <w:rsid w:val="00136174"/>
    <w:rsid w:val="0013788B"/>
    <w:rsid w:val="0014066A"/>
    <w:rsid w:val="00140B25"/>
    <w:rsid w:val="00141246"/>
    <w:rsid w:val="001416EE"/>
    <w:rsid w:val="0014279A"/>
    <w:rsid w:val="00142AE4"/>
    <w:rsid w:val="001450DF"/>
    <w:rsid w:val="00145CA6"/>
    <w:rsid w:val="0014734D"/>
    <w:rsid w:val="00152B36"/>
    <w:rsid w:val="001530B2"/>
    <w:rsid w:val="001539BE"/>
    <w:rsid w:val="001543E7"/>
    <w:rsid w:val="00155147"/>
    <w:rsid w:val="00155B77"/>
    <w:rsid w:val="001602D7"/>
    <w:rsid w:val="00160569"/>
    <w:rsid w:val="001607BE"/>
    <w:rsid w:val="00161E2F"/>
    <w:rsid w:val="001624A3"/>
    <w:rsid w:val="001624CE"/>
    <w:rsid w:val="001624DA"/>
    <w:rsid w:val="00162BF5"/>
    <w:rsid w:val="001635F5"/>
    <w:rsid w:val="001639EF"/>
    <w:rsid w:val="001640D4"/>
    <w:rsid w:val="00165E23"/>
    <w:rsid w:val="00166B3A"/>
    <w:rsid w:val="00166CD4"/>
    <w:rsid w:val="00170099"/>
    <w:rsid w:val="00170194"/>
    <w:rsid w:val="00170927"/>
    <w:rsid w:val="0017092A"/>
    <w:rsid w:val="00170984"/>
    <w:rsid w:val="001722CD"/>
    <w:rsid w:val="001725B6"/>
    <w:rsid w:val="00172ACA"/>
    <w:rsid w:val="00172D8B"/>
    <w:rsid w:val="00172F57"/>
    <w:rsid w:val="00173177"/>
    <w:rsid w:val="00174417"/>
    <w:rsid w:val="001749CF"/>
    <w:rsid w:val="00175CEC"/>
    <w:rsid w:val="00176B8E"/>
    <w:rsid w:val="00176DCF"/>
    <w:rsid w:val="00177BCC"/>
    <w:rsid w:val="0018035B"/>
    <w:rsid w:val="00180DEC"/>
    <w:rsid w:val="00181CB9"/>
    <w:rsid w:val="0018251A"/>
    <w:rsid w:val="00183891"/>
    <w:rsid w:val="0018458D"/>
    <w:rsid w:val="001846FB"/>
    <w:rsid w:val="00185658"/>
    <w:rsid w:val="00185919"/>
    <w:rsid w:val="00190AA2"/>
    <w:rsid w:val="0019215D"/>
    <w:rsid w:val="00194059"/>
    <w:rsid w:val="00194E69"/>
    <w:rsid w:val="00197DD9"/>
    <w:rsid w:val="001A05F5"/>
    <w:rsid w:val="001A2CFB"/>
    <w:rsid w:val="001A46C0"/>
    <w:rsid w:val="001A57DB"/>
    <w:rsid w:val="001A586B"/>
    <w:rsid w:val="001A73F1"/>
    <w:rsid w:val="001A743E"/>
    <w:rsid w:val="001B043A"/>
    <w:rsid w:val="001B146C"/>
    <w:rsid w:val="001B1D26"/>
    <w:rsid w:val="001B1E1E"/>
    <w:rsid w:val="001B2F76"/>
    <w:rsid w:val="001B2F82"/>
    <w:rsid w:val="001B396B"/>
    <w:rsid w:val="001B4715"/>
    <w:rsid w:val="001B4B9C"/>
    <w:rsid w:val="001B5E33"/>
    <w:rsid w:val="001B7D0D"/>
    <w:rsid w:val="001B7F23"/>
    <w:rsid w:val="001C13E9"/>
    <w:rsid w:val="001C20D1"/>
    <w:rsid w:val="001C319E"/>
    <w:rsid w:val="001C3F7D"/>
    <w:rsid w:val="001C4148"/>
    <w:rsid w:val="001C5E04"/>
    <w:rsid w:val="001C78FF"/>
    <w:rsid w:val="001C7AE7"/>
    <w:rsid w:val="001D016F"/>
    <w:rsid w:val="001D03B6"/>
    <w:rsid w:val="001D0B29"/>
    <w:rsid w:val="001D1C27"/>
    <w:rsid w:val="001D204E"/>
    <w:rsid w:val="001D27D0"/>
    <w:rsid w:val="001D2A8B"/>
    <w:rsid w:val="001D2BA1"/>
    <w:rsid w:val="001D3862"/>
    <w:rsid w:val="001D3D33"/>
    <w:rsid w:val="001D438D"/>
    <w:rsid w:val="001D49AC"/>
    <w:rsid w:val="001D4BC9"/>
    <w:rsid w:val="001D4FE1"/>
    <w:rsid w:val="001D77C6"/>
    <w:rsid w:val="001D7888"/>
    <w:rsid w:val="001D78FF"/>
    <w:rsid w:val="001E0387"/>
    <w:rsid w:val="001E1E57"/>
    <w:rsid w:val="001E1FC6"/>
    <w:rsid w:val="001E223F"/>
    <w:rsid w:val="001E2B6E"/>
    <w:rsid w:val="001E4374"/>
    <w:rsid w:val="001E4A82"/>
    <w:rsid w:val="001E4C0D"/>
    <w:rsid w:val="001E4E95"/>
    <w:rsid w:val="001E5FBA"/>
    <w:rsid w:val="001E631F"/>
    <w:rsid w:val="001F0A69"/>
    <w:rsid w:val="001F1728"/>
    <w:rsid w:val="001F1774"/>
    <w:rsid w:val="001F24A4"/>
    <w:rsid w:val="001F2658"/>
    <w:rsid w:val="001F3560"/>
    <w:rsid w:val="001F3AD6"/>
    <w:rsid w:val="001F3CCB"/>
    <w:rsid w:val="001F46D5"/>
    <w:rsid w:val="001F4F46"/>
    <w:rsid w:val="001F5B12"/>
    <w:rsid w:val="001F5C21"/>
    <w:rsid w:val="001F6073"/>
    <w:rsid w:val="001F63BD"/>
    <w:rsid w:val="001F6775"/>
    <w:rsid w:val="001F69BF"/>
    <w:rsid w:val="002005FF"/>
    <w:rsid w:val="00200A0E"/>
    <w:rsid w:val="00200DF8"/>
    <w:rsid w:val="002016BF"/>
    <w:rsid w:val="002024E9"/>
    <w:rsid w:val="00203A58"/>
    <w:rsid w:val="002054DB"/>
    <w:rsid w:val="00206282"/>
    <w:rsid w:val="0020639A"/>
    <w:rsid w:val="00206ED3"/>
    <w:rsid w:val="0020755B"/>
    <w:rsid w:val="00210354"/>
    <w:rsid w:val="00210857"/>
    <w:rsid w:val="00210AFE"/>
    <w:rsid w:val="00210D30"/>
    <w:rsid w:val="002119A2"/>
    <w:rsid w:val="00213962"/>
    <w:rsid w:val="00216601"/>
    <w:rsid w:val="0022162D"/>
    <w:rsid w:val="002222A4"/>
    <w:rsid w:val="002224F0"/>
    <w:rsid w:val="00224B8A"/>
    <w:rsid w:val="00224F31"/>
    <w:rsid w:val="0022633B"/>
    <w:rsid w:val="00226F9D"/>
    <w:rsid w:val="00230F4A"/>
    <w:rsid w:val="00231C72"/>
    <w:rsid w:val="002320C7"/>
    <w:rsid w:val="0023523A"/>
    <w:rsid w:val="00235E45"/>
    <w:rsid w:val="0023664F"/>
    <w:rsid w:val="002366EB"/>
    <w:rsid w:val="00236A4E"/>
    <w:rsid w:val="00236EB7"/>
    <w:rsid w:val="00237631"/>
    <w:rsid w:val="00237FDB"/>
    <w:rsid w:val="0024053C"/>
    <w:rsid w:val="0024338D"/>
    <w:rsid w:val="00243629"/>
    <w:rsid w:val="002436C1"/>
    <w:rsid w:val="00243788"/>
    <w:rsid w:val="00243DF5"/>
    <w:rsid w:val="002441BB"/>
    <w:rsid w:val="00245106"/>
    <w:rsid w:val="00245D03"/>
    <w:rsid w:val="0024688C"/>
    <w:rsid w:val="00247A7D"/>
    <w:rsid w:val="00250DAF"/>
    <w:rsid w:val="0025150E"/>
    <w:rsid w:val="0025215F"/>
    <w:rsid w:val="00252B51"/>
    <w:rsid w:val="00252FF1"/>
    <w:rsid w:val="00253264"/>
    <w:rsid w:val="00253997"/>
    <w:rsid w:val="00253A8D"/>
    <w:rsid w:val="0025423C"/>
    <w:rsid w:val="00254A3C"/>
    <w:rsid w:val="00254A8B"/>
    <w:rsid w:val="00254B4A"/>
    <w:rsid w:val="00255254"/>
    <w:rsid w:val="00256E57"/>
    <w:rsid w:val="0025744E"/>
    <w:rsid w:val="00262060"/>
    <w:rsid w:val="00264A42"/>
    <w:rsid w:val="00265E97"/>
    <w:rsid w:val="0026641B"/>
    <w:rsid w:val="0026713D"/>
    <w:rsid w:val="002672C8"/>
    <w:rsid w:val="00267CC6"/>
    <w:rsid w:val="00270665"/>
    <w:rsid w:val="002723A5"/>
    <w:rsid w:val="00272B03"/>
    <w:rsid w:val="00272C53"/>
    <w:rsid w:val="00272E20"/>
    <w:rsid w:val="00273681"/>
    <w:rsid w:val="00274587"/>
    <w:rsid w:val="0027510A"/>
    <w:rsid w:val="00276883"/>
    <w:rsid w:val="00276B00"/>
    <w:rsid w:val="002770C9"/>
    <w:rsid w:val="00277C1F"/>
    <w:rsid w:val="00280589"/>
    <w:rsid w:val="00281EF2"/>
    <w:rsid w:val="002821D7"/>
    <w:rsid w:val="00282E61"/>
    <w:rsid w:val="00282F20"/>
    <w:rsid w:val="00282F5C"/>
    <w:rsid w:val="002835E9"/>
    <w:rsid w:val="00283E39"/>
    <w:rsid w:val="00286571"/>
    <w:rsid w:val="00286A20"/>
    <w:rsid w:val="00287B11"/>
    <w:rsid w:val="0029004F"/>
    <w:rsid w:val="00291B4A"/>
    <w:rsid w:val="00291B84"/>
    <w:rsid w:val="00291C31"/>
    <w:rsid w:val="00292B5E"/>
    <w:rsid w:val="002932FC"/>
    <w:rsid w:val="00293A89"/>
    <w:rsid w:val="00293FBC"/>
    <w:rsid w:val="00294431"/>
    <w:rsid w:val="00294B49"/>
    <w:rsid w:val="00295538"/>
    <w:rsid w:val="00297034"/>
    <w:rsid w:val="002A2202"/>
    <w:rsid w:val="002A23E0"/>
    <w:rsid w:val="002A2E20"/>
    <w:rsid w:val="002A32DF"/>
    <w:rsid w:val="002A336C"/>
    <w:rsid w:val="002A4DD2"/>
    <w:rsid w:val="002A5B1C"/>
    <w:rsid w:val="002A7DF5"/>
    <w:rsid w:val="002A7E94"/>
    <w:rsid w:val="002B0795"/>
    <w:rsid w:val="002B082C"/>
    <w:rsid w:val="002B1D8F"/>
    <w:rsid w:val="002B2620"/>
    <w:rsid w:val="002B313B"/>
    <w:rsid w:val="002B3225"/>
    <w:rsid w:val="002B3AAF"/>
    <w:rsid w:val="002B5694"/>
    <w:rsid w:val="002B5A73"/>
    <w:rsid w:val="002B6012"/>
    <w:rsid w:val="002B73E8"/>
    <w:rsid w:val="002B7DD3"/>
    <w:rsid w:val="002C021F"/>
    <w:rsid w:val="002C108C"/>
    <w:rsid w:val="002C10DD"/>
    <w:rsid w:val="002C1C8A"/>
    <w:rsid w:val="002C2056"/>
    <w:rsid w:val="002C23F7"/>
    <w:rsid w:val="002C3367"/>
    <w:rsid w:val="002C5770"/>
    <w:rsid w:val="002C608B"/>
    <w:rsid w:val="002C68E0"/>
    <w:rsid w:val="002C7CB4"/>
    <w:rsid w:val="002C7E29"/>
    <w:rsid w:val="002D2324"/>
    <w:rsid w:val="002D29FD"/>
    <w:rsid w:val="002D2A0A"/>
    <w:rsid w:val="002D2AEC"/>
    <w:rsid w:val="002D2C1F"/>
    <w:rsid w:val="002D2EE2"/>
    <w:rsid w:val="002D4E9A"/>
    <w:rsid w:val="002E0399"/>
    <w:rsid w:val="002E05A6"/>
    <w:rsid w:val="002E10F4"/>
    <w:rsid w:val="002E1111"/>
    <w:rsid w:val="002E1382"/>
    <w:rsid w:val="002E4764"/>
    <w:rsid w:val="002E6F55"/>
    <w:rsid w:val="002F04F7"/>
    <w:rsid w:val="002F0E4E"/>
    <w:rsid w:val="002F1300"/>
    <w:rsid w:val="002F344B"/>
    <w:rsid w:val="002F38F0"/>
    <w:rsid w:val="002F530E"/>
    <w:rsid w:val="002F582F"/>
    <w:rsid w:val="002F6206"/>
    <w:rsid w:val="002F709A"/>
    <w:rsid w:val="002F77A8"/>
    <w:rsid w:val="002F7F72"/>
    <w:rsid w:val="00301619"/>
    <w:rsid w:val="00301AD3"/>
    <w:rsid w:val="00302755"/>
    <w:rsid w:val="003038BD"/>
    <w:rsid w:val="00303C11"/>
    <w:rsid w:val="00304C13"/>
    <w:rsid w:val="003055CF"/>
    <w:rsid w:val="00305A15"/>
    <w:rsid w:val="00306353"/>
    <w:rsid w:val="00306D41"/>
    <w:rsid w:val="00307094"/>
    <w:rsid w:val="00307342"/>
    <w:rsid w:val="00310272"/>
    <w:rsid w:val="00310A72"/>
    <w:rsid w:val="00311C18"/>
    <w:rsid w:val="0031298C"/>
    <w:rsid w:val="0031385E"/>
    <w:rsid w:val="00313D52"/>
    <w:rsid w:val="00314235"/>
    <w:rsid w:val="003210D3"/>
    <w:rsid w:val="0032273F"/>
    <w:rsid w:val="00322BC7"/>
    <w:rsid w:val="00324E2B"/>
    <w:rsid w:val="003259F5"/>
    <w:rsid w:val="0032607C"/>
    <w:rsid w:val="00326E7B"/>
    <w:rsid w:val="003271C0"/>
    <w:rsid w:val="0033166C"/>
    <w:rsid w:val="00331675"/>
    <w:rsid w:val="0033358A"/>
    <w:rsid w:val="003342B8"/>
    <w:rsid w:val="00334733"/>
    <w:rsid w:val="0033504B"/>
    <w:rsid w:val="003362C7"/>
    <w:rsid w:val="00336A5A"/>
    <w:rsid w:val="00337787"/>
    <w:rsid w:val="00337AA0"/>
    <w:rsid w:val="00340469"/>
    <w:rsid w:val="00340C96"/>
    <w:rsid w:val="00340F90"/>
    <w:rsid w:val="00342ADB"/>
    <w:rsid w:val="00342B49"/>
    <w:rsid w:val="00343B0F"/>
    <w:rsid w:val="00346888"/>
    <w:rsid w:val="00346AC5"/>
    <w:rsid w:val="00347006"/>
    <w:rsid w:val="00347C86"/>
    <w:rsid w:val="00347D0D"/>
    <w:rsid w:val="003503AE"/>
    <w:rsid w:val="00351D8C"/>
    <w:rsid w:val="0035213A"/>
    <w:rsid w:val="00352C28"/>
    <w:rsid w:val="003532BE"/>
    <w:rsid w:val="00353419"/>
    <w:rsid w:val="00355122"/>
    <w:rsid w:val="00355D35"/>
    <w:rsid w:val="00356370"/>
    <w:rsid w:val="00360094"/>
    <w:rsid w:val="003610D6"/>
    <w:rsid w:val="00361313"/>
    <w:rsid w:val="00361E69"/>
    <w:rsid w:val="003627FB"/>
    <w:rsid w:val="00362826"/>
    <w:rsid w:val="0036403D"/>
    <w:rsid w:val="0036455C"/>
    <w:rsid w:val="0036520F"/>
    <w:rsid w:val="00366074"/>
    <w:rsid w:val="003668B4"/>
    <w:rsid w:val="00367122"/>
    <w:rsid w:val="003671A1"/>
    <w:rsid w:val="003674CC"/>
    <w:rsid w:val="003702CE"/>
    <w:rsid w:val="0037083D"/>
    <w:rsid w:val="00371CEE"/>
    <w:rsid w:val="00372402"/>
    <w:rsid w:val="003725B4"/>
    <w:rsid w:val="003726C4"/>
    <w:rsid w:val="003750B3"/>
    <w:rsid w:val="00375BEB"/>
    <w:rsid w:val="003767BD"/>
    <w:rsid w:val="00376909"/>
    <w:rsid w:val="003771CC"/>
    <w:rsid w:val="003800B4"/>
    <w:rsid w:val="003809E0"/>
    <w:rsid w:val="003814E2"/>
    <w:rsid w:val="00381AF1"/>
    <w:rsid w:val="00381E88"/>
    <w:rsid w:val="003821F9"/>
    <w:rsid w:val="003827CD"/>
    <w:rsid w:val="00382CF4"/>
    <w:rsid w:val="00383A99"/>
    <w:rsid w:val="00383D6D"/>
    <w:rsid w:val="00384D3B"/>
    <w:rsid w:val="003852EF"/>
    <w:rsid w:val="0038584E"/>
    <w:rsid w:val="003870EE"/>
    <w:rsid w:val="00390863"/>
    <w:rsid w:val="00390C78"/>
    <w:rsid w:val="00393452"/>
    <w:rsid w:val="003939DB"/>
    <w:rsid w:val="003949C1"/>
    <w:rsid w:val="00394C2C"/>
    <w:rsid w:val="00395C1B"/>
    <w:rsid w:val="0039628E"/>
    <w:rsid w:val="00396F85"/>
    <w:rsid w:val="0039723A"/>
    <w:rsid w:val="003A089D"/>
    <w:rsid w:val="003A1CB9"/>
    <w:rsid w:val="003A27B8"/>
    <w:rsid w:val="003A2D89"/>
    <w:rsid w:val="003A3465"/>
    <w:rsid w:val="003A3D8C"/>
    <w:rsid w:val="003A3F39"/>
    <w:rsid w:val="003A44A8"/>
    <w:rsid w:val="003A45DA"/>
    <w:rsid w:val="003A539D"/>
    <w:rsid w:val="003A547A"/>
    <w:rsid w:val="003A5FA1"/>
    <w:rsid w:val="003A689D"/>
    <w:rsid w:val="003A7623"/>
    <w:rsid w:val="003B14F1"/>
    <w:rsid w:val="003B26C5"/>
    <w:rsid w:val="003B3212"/>
    <w:rsid w:val="003B324C"/>
    <w:rsid w:val="003B6220"/>
    <w:rsid w:val="003B67D8"/>
    <w:rsid w:val="003B7083"/>
    <w:rsid w:val="003B76DC"/>
    <w:rsid w:val="003C1A98"/>
    <w:rsid w:val="003C1CC0"/>
    <w:rsid w:val="003C1E93"/>
    <w:rsid w:val="003C2547"/>
    <w:rsid w:val="003C2CED"/>
    <w:rsid w:val="003C3063"/>
    <w:rsid w:val="003C34D7"/>
    <w:rsid w:val="003C5489"/>
    <w:rsid w:val="003C54C5"/>
    <w:rsid w:val="003C596C"/>
    <w:rsid w:val="003C67DF"/>
    <w:rsid w:val="003C6A84"/>
    <w:rsid w:val="003C6E5E"/>
    <w:rsid w:val="003C7620"/>
    <w:rsid w:val="003D03AF"/>
    <w:rsid w:val="003D07CA"/>
    <w:rsid w:val="003D1EF9"/>
    <w:rsid w:val="003D1FE5"/>
    <w:rsid w:val="003D3735"/>
    <w:rsid w:val="003D3782"/>
    <w:rsid w:val="003D4868"/>
    <w:rsid w:val="003D4EF5"/>
    <w:rsid w:val="003D5148"/>
    <w:rsid w:val="003D5BCE"/>
    <w:rsid w:val="003D5C90"/>
    <w:rsid w:val="003D6081"/>
    <w:rsid w:val="003D6720"/>
    <w:rsid w:val="003D6B3F"/>
    <w:rsid w:val="003D74C0"/>
    <w:rsid w:val="003D7951"/>
    <w:rsid w:val="003D7E66"/>
    <w:rsid w:val="003E030F"/>
    <w:rsid w:val="003E07CF"/>
    <w:rsid w:val="003E122A"/>
    <w:rsid w:val="003E1EFB"/>
    <w:rsid w:val="003E2B26"/>
    <w:rsid w:val="003E4299"/>
    <w:rsid w:val="003E4849"/>
    <w:rsid w:val="003E53A3"/>
    <w:rsid w:val="003E70B9"/>
    <w:rsid w:val="003E7812"/>
    <w:rsid w:val="003F0B24"/>
    <w:rsid w:val="003F10FB"/>
    <w:rsid w:val="003F2136"/>
    <w:rsid w:val="003F277A"/>
    <w:rsid w:val="003F31E6"/>
    <w:rsid w:val="003F32FE"/>
    <w:rsid w:val="003F40F9"/>
    <w:rsid w:val="003F46B1"/>
    <w:rsid w:val="003F4C40"/>
    <w:rsid w:val="003F52FE"/>
    <w:rsid w:val="003F580D"/>
    <w:rsid w:val="003F61D7"/>
    <w:rsid w:val="00401ECB"/>
    <w:rsid w:val="00401F3A"/>
    <w:rsid w:val="004024F2"/>
    <w:rsid w:val="0040272E"/>
    <w:rsid w:val="00402EA0"/>
    <w:rsid w:val="00404196"/>
    <w:rsid w:val="004041C9"/>
    <w:rsid w:val="00404615"/>
    <w:rsid w:val="004079CC"/>
    <w:rsid w:val="004106A7"/>
    <w:rsid w:val="004108D9"/>
    <w:rsid w:val="00411174"/>
    <w:rsid w:val="00412823"/>
    <w:rsid w:val="0041382E"/>
    <w:rsid w:val="0041385F"/>
    <w:rsid w:val="00413D00"/>
    <w:rsid w:val="00414410"/>
    <w:rsid w:val="00414992"/>
    <w:rsid w:val="004149A1"/>
    <w:rsid w:val="004153ED"/>
    <w:rsid w:val="00415B87"/>
    <w:rsid w:val="00416ED0"/>
    <w:rsid w:val="004175B0"/>
    <w:rsid w:val="00421C9B"/>
    <w:rsid w:val="00421ED6"/>
    <w:rsid w:val="00426041"/>
    <w:rsid w:val="00426CBC"/>
    <w:rsid w:val="0043002F"/>
    <w:rsid w:val="004303B3"/>
    <w:rsid w:val="00430927"/>
    <w:rsid w:val="00430E35"/>
    <w:rsid w:val="0043308A"/>
    <w:rsid w:val="00433113"/>
    <w:rsid w:val="0043449C"/>
    <w:rsid w:val="00435D6C"/>
    <w:rsid w:val="00436036"/>
    <w:rsid w:val="0043673C"/>
    <w:rsid w:val="00437DA0"/>
    <w:rsid w:val="004412CE"/>
    <w:rsid w:val="00442603"/>
    <w:rsid w:val="0044335F"/>
    <w:rsid w:val="0044374B"/>
    <w:rsid w:val="004440FE"/>
    <w:rsid w:val="00444898"/>
    <w:rsid w:val="00444DED"/>
    <w:rsid w:val="004451D0"/>
    <w:rsid w:val="004453E6"/>
    <w:rsid w:val="00445E88"/>
    <w:rsid w:val="00446442"/>
    <w:rsid w:val="00447705"/>
    <w:rsid w:val="0044779E"/>
    <w:rsid w:val="00447FF9"/>
    <w:rsid w:val="00450F19"/>
    <w:rsid w:val="00452139"/>
    <w:rsid w:val="00453254"/>
    <w:rsid w:val="00453451"/>
    <w:rsid w:val="0045366F"/>
    <w:rsid w:val="00453F4D"/>
    <w:rsid w:val="00454E59"/>
    <w:rsid w:val="00455D49"/>
    <w:rsid w:val="00455DF1"/>
    <w:rsid w:val="00460877"/>
    <w:rsid w:val="00460F22"/>
    <w:rsid w:val="00461254"/>
    <w:rsid w:val="00461AED"/>
    <w:rsid w:val="004629B2"/>
    <w:rsid w:val="0046446A"/>
    <w:rsid w:val="004645D0"/>
    <w:rsid w:val="00464A97"/>
    <w:rsid w:val="00464FA6"/>
    <w:rsid w:val="004651E5"/>
    <w:rsid w:val="00465465"/>
    <w:rsid w:val="00466C27"/>
    <w:rsid w:val="00466C43"/>
    <w:rsid w:val="004676E4"/>
    <w:rsid w:val="0046796E"/>
    <w:rsid w:val="004707EC"/>
    <w:rsid w:val="00470F11"/>
    <w:rsid w:val="004716FE"/>
    <w:rsid w:val="0047173F"/>
    <w:rsid w:val="004720EA"/>
    <w:rsid w:val="004722FE"/>
    <w:rsid w:val="00472A2C"/>
    <w:rsid w:val="004739B2"/>
    <w:rsid w:val="00473C24"/>
    <w:rsid w:val="00474178"/>
    <w:rsid w:val="0047530A"/>
    <w:rsid w:val="004761F8"/>
    <w:rsid w:val="0047624F"/>
    <w:rsid w:val="00476551"/>
    <w:rsid w:val="00476764"/>
    <w:rsid w:val="00477506"/>
    <w:rsid w:val="004776A2"/>
    <w:rsid w:val="00477994"/>
    <w:rsid w:val="0048034F"/>
    <w:rsid w:val="00480D0C"/>
    <w:rsid w:val="00480ED0"/>
    <w:rsid w:val="004814DE"/>
    <w:rsid w:val="00481CB0"/>
    <w:rsid w:val="00482CC2"/>
    <w:rsid w:val="004835E4"/>
    <w:rsid w:val="0048481D"/>
    <w:rsid w:val="00484B5C"/>
    <w:rsid w:val="00484CF0"/>
    <w:rsid w:val="004856F7"/>
    <w:rsid w:val="004858BF"/>
    <w:rsid w:val="00486C77"/>
    <w:rsid w:val="00487169"/>
    <w:rsid w:val="00487EBB"/>
    <w:rsid w:val="00490284"/>
    <w:rsid w:val="0049042D"/>
    <w:rsid w:val="00490539"/>
    <w:rsid w:val="004907EE"/>
    <w:rsid w:val="004910C2"/>
    <w:rsid w:val="00491342"/>
    <w:rsid w:val="00491B25"/>
    <w:rsid w:val="00491FCB"/>
    <w:rsid w:val="004925DF"/>
    <w:rsid w:val="0049261E"/>
    <w:rsid w:val="004929D1"/>
    <w:rsid w:val="004939CA"/>
    <w:rsid w:val="00497627"/>
    <w:rsid w:val="00497D5C"/>
    <w:rsid w:val="004A0025"/>
    <w:rsid w:val="004A11E1"/>
    <w:rsid w:val="004A1C66"/>
    <w:rsid w:val="004A243A"/>
    <w:rsid w:val="004A2756"/>
    <w:rsid w:val="004A2D4F"/>
    <w:rsid w:val="004A3CDA"/>
    <w:rsid w:val="004A43DB"/>
    <w:rsid w:val="004A49CD"/>
    <w:rsid w:val="004A4AED"/>
    <w:rsid w:val="004A5659"/>
    <w:rsid w:val="004A58D1"/>
    <w:rsid w:val="004A5E88"/>
    <w:rsid w:val="004A65C0"/>
    <w:rsid w:val="004A6C11"/>
    <w:rsid w:val="004B07AF"/>
    <w:rsid w:val="004B1BA9"/>
    <w:rsid w:val="004B1E66"/>
    <w:rsid w:val="004B25F5"/>
    <w:rsid w:val="004B3028"/>
    <w:rsid w:val="004B4001"/>
    <w:rsid w:val="004B4B39"/>
    <w:rsid w:val="004B4F6D"/>
    <w:rsid w:val="004B4FB9"/>
    <w:rsid w:val="004B6EA9"/>
    <w:rsid w:val="004B7272"/>
    <w:rsid w:val="004B735F"/>
    <w:rsid w:val="004B77FF"/>
    <w:rsid w:val="004C0F0C"/>
    <w:rsid w:val="004C1242"/>
    <w:rsid w:val="004C12D2"/>
    <w:rsid w:val="004C1C90"/>
    <w:rsid w:val="004C38D6"/>
    <w:rsid w:val="004C49FA"/>
    <w:rsid w:val="004C4C9B"/>
    <w:rsid w:val="004C51CB"/>
    <w:rsid w:val="004C715E"/>
    <w:rsid w:val="004C7C47"/>
    <w:rsid w:val="004D0388"/>
    <w:rsid w:val="004D0478"/>
    <w:rsid w:val="004D0A93"/>
    <w:rsid w:val="004D1250"/>
    <w:rsid w:val="004D1414"/>
    <w:rsid w:val="004D20F5"/>
    <w:rsid w:val="004D2EC3"/>
    <w:rsid w:val="004D34DD"/>
    <w:rsid w:val="004D382B"/>
    <w:rsid w:val="004D3B10"/>
    <w:rsid w:val="004D4F53"/>
    <w:rsid w:val="004D5F3E"/>
    <w:rsid w:val="004D6E8F"/>
    <w:rsid w:val="004D73A7"/>
    <w:rsid w:val="004D7BA3"/>
    <w:rsid w:val="004E17BA"/>
    <w:rsid w:val="004E2439"/>
    <w:rsid w:val="004E3B45"/>
    <w:rsid w:val="004E3C6A"/>
    <w:rsid w:val="004E645B"/>
    <w:rsid w:val="004E6AF7"/>
    <w:rsid w:val="004F0EEA"/>
    <w:rsid w:val="004F1976"/>
    <w:rsid w:val="004F20D7"/>
    <w:rsid w:val="004F23A8"/>
    <w:rsid w:val="004F3AC9"/>
    <w:rsid w:val="004F3E60"/>
    <w:rsid w:val="004F41B3"/>
    <w:rsid w:val="004F45C3"/>
    <w:rsid w:val="004F46F0"/>
    <w:rsid w:val="004F4F78"/>
    <w:rsid w:val="004F55EC"/>
    <w:rsid w:val="004F64C1"/>
    <w:rsid w:val="004F6903"/>
    <w:rsid w:val="00500753"/>
    <w:rsid w:val="005012FC"/>
    <w:rsid w:val="005013A2"/>
    <w:rsid w:val="0050227A"/>
    <w:rsid w:val="005027E9"/>
    <w:rsid w:val="00502885"/>
    <w:rsid w:val="0050386F"/>
    <w:rsid w:val="00504709"/>
    <w:rsid w:val="005059A6"/>
    <w:rsid w:val="00505B87"/>
    <w:rsid w:val="00507959"/>
    <w:rsid w:val="00507BAE"/>
    <w:rsid w:val="00510205"/>
    <w:rsid w:val="00510526"/>
    <w:rsid w:val="00510823"/>
    <w:rsid w:val="00510B1C"/>
    <w:rsid w:val="0051208D"/>
    <w:rsid w:val="00512FB1"/>
    <w:rsid w:val="005142C9"/>
    <w:rsid w:val="00514531"/>
    <w:rsid w:val="005152A4"/>
    <w:rsid w:val="00515789"/>
    <w:rsid w:val="00516DA1"/>
    <w:rsid w:val="005201F1"/>
    <w:rsid w:val="00520ACC"/>
    <w:rsid w:val="00520B0B"/>
    <w:rsid w:val="00520DB0"/>
    <w:rsid w:val="005212D4"/>
    <w:rsid w:val="005212DC"/>
    <w:rsid w:val="0052145D"/>
    <w:rsid w:val="00523EAC"/>
    <w:rsid w:val="0052415B"/>
    <w:rsid w:val="00524AF2"/>
    <w:rsid w:val="005266CB"/>
    <w:rsid w:val="00527342"/>
    <w:rsid w:val="005278A2"/>
    <w:rsid w:val="005278DA"/>
    <w:rsid w:val="00527FBD"/>
    <w:rsid w:val="00527FBE"/>
    <w:rsid w:val="005300C9"/>
    <w:rsid w:val="005303CB"/>
    <w:rsid w:val="0053069A"/>
    <w:rsid w:val="005308B0"/>
    <w:rsid w:val="005315BB"/>
    <w:rsid w:val="00533CBF"/>
    <w:rsid w:val="0053444E"/>
    <w:rsid w:val="00534CE2"/>
    <w:rsid w:val="00534DA6"/>
    <w:rsid w:val="0053510C"/>
    <w:rsid w:val="00535339"/>
    <w:rsid w:val="005362B4"/>
    <w:rsid w:val="0053633A"/>
    <w:rsid w:val="005369FC"/>
    <w:rsid w:val="0053720E"/>
    <w:rsid w:val="005373C3"/>
    <w:rsid w:val="005400DC"/>
    <w:rsid w:val="00540C57"/>
    <w:rsid w:val="00542434"/>
    <w:rsid w:val="00542CCA"/>
    <w:rsid w:val="0054309D"/>
    <w:rsid w:val="00543141"/>
    <w:rsid w:val="005436F3"/>
    <w:rsid w:val="00543E57"/>
    <w:rsid w:val="00544082"/>
    <w:rsid w:val="00544451"/>
    <w:rsid w:val="005449D5"/>
    <w:rsid w:val="00544A6C"/>
    <w:rsid w:val="00544CC2"/>
    <w:rsid w:val="005450C7"/>
    <w:rsid w:val="00545396"/>
    <w:rsid w:val="005466A7"/>
    <w:rsid w:val="00547E55"/>
    <w:rsid w:val="00551427"/>
    <w:rsid w:val="00551C0A"/>
    <w:rsid w:val="005532BD"/>
    <w:rsid w:val="00553481"/>
    <w:rsid w:val="00553D14"/>
    <w:rsid w:val="00554430"/>
    <w:rsid w:val="0055650D"/>
    <w:rsid w:val="0055740A"/>
    <w:rsid w:val="00560551"/>
    <w:rsid w:val="00560C1D"/>
    <w:rsid w:val="005616BB"/>
    <w:rsid w:val="00561D8C"/>
    <w:rsid w:val="00561FE9"/>
    <w:rsid w:val="005625AE"/>
    <w:rsid w:val="00562804"/>
    <w:rsid w:val="00564F46"/>
    <w:rsid w:val="00565828"/>
    <w:rsid w:val="005659B2"/>
    <w:rsid w:val="005661FD"/>
    <w:rsid w:val="00566CB6"/>
    <w:rsid w:val="00566F54"/>
    <w:rsid w:val="00567077"/>
    <w:rsid w:val="00567AAC"/>
    <w:rsid w:val="00570101"/>
    <w:rsid w:val="00570B5D"/>
    <w:rsid w:val="00570E1D"/>
    <w:rsid w:val="00571C2C"/>
    <w:rsid w:val="00572545"/>
    <w:rsid w:val="00572A2F"/>
    <w:rsid w:val="00572C28"/>
    <w:rsid w:val="00572D91"/>
    <w:rsid w:val="00574893"/>
    <w:rsid w:val="00574A2E"/>
    <w:rsid w:val="00575E03"/>
    <w:rsid w:val="00576A7C"/>
    <w:rsid w:val="00576B9E"/>
    <w:rsid w:val="00577555"/>
    <w:rsid w:val="005775A5"/>
    <w:rsid w:val="0057778D"/>
    <w:rsid w:val="00577DAB"/>
    <w:rsid w:val="005803F4"/>
    <w:rsid w:val="005803FA"/>
    <w:rsid w:val="00581ABA"/>
    <w:rsid w:val="00581E78"/>
    <w:rsid w:val="005821D1"/>
    <w:rsid w:val="005839FA"/>
    <w:rsid w:val="00583A5E"/>
    <w:rsid w:val="0058555A"/>
    <w:rsid w:val="00587BF7"/>
    <w:rsid w:val="005900ED"/>
    <w:rsid w:val="0059032F"/>
    <w:rsid w:val="00590CD8"/>
    <w:rsid w:val="00593310"/>
    <w:rsid w:val="005935C1"/>
    <w:rsid w:val="0059440A"/>
    <w:rsid w:val="00595C4D"/>
    <w:rsid w:val="00596453"/>
    <w:rsid w:val="0059742D"/>
    <w:rsid w:val="00597498"/>
    <w:rsid w:val="0059767A"/>
    <w:rsid w:val="00597A5A"/>
    <w:rsid w:val="005A0EB9"/>
    <w:rsid w:val="005A1F05"/>
    <w:rsid w:val="005A2E37"/>
    <w:rsid w:val="005A3505"/>
    <w:rsid w:val="005A4B7D"/>
    <w:rsid w:val="005A4D2A"/>
    <w:rsid w:val="005A6007"/>
    <w:rsid w:val="005A6752"/>
    <w:rsid w:val="005A6DE4"/>
    <w:rsid w:val="005A7236"/>
    <w:rsid w:val="005A7DF5"/>
    <w:rsid w:val="005B08B3"/>
    <w:rsid w:val="005B0F07"/>
    <w:rsid w:val="005B16D7"/>
    <w:rsid w:val="005B1722"/>
    <w:rsid w:val="005B1B26"/>
    <w:rsid w:val="005B1BB5"/>
    <w:rsid w:val="005B2156"/>
    <w:rsid w:val="005B27D1"/>
    <w:rsid w:val="005B3AC2"/>
    <w:rsid w:val="005B3DCC"/>
    <w:rsid w:val="005B4027"/>
    <w:rsid w:val="005B62FA"/>
    <w:rsid w:val="005B6576"/>
    <w:rsid w:val="005B6DB4"/>
    <w:rsid w:val="005B7000"/>
    <w:rsid w:val="005C09F1"/>
    <w:rsid w:val="005C1CF3"/>
    <w:rsid w:val="005C1D7C"/>
    <w:rsid w:val="005C27DE"/>
    <w:rsid w:val="005C37A8"/>
    <w:rsid w:val="005C3B0D"/>
    <w:rsid w:val="005C4B2D"/>
    <w:rsid w:val="005C56DE"/>
    <w:rsid w:val="005C5BC2"/>
    <w:rsid w:val="005C60F8"/>
    <w:rsid w:val="005C6C75"/>
    <w:rsid w:val="005C72E9"/>
    <w:rsid w:val="005C730F"/>
    <w:rsid w:val="005C79F4"/>
    <w:rsid w:val="005C7D63"/>
    <w:rsid w:val="005D0660"/>
    <w:rsid w:val="005D06E7"/>
    <w:rsid w:val="005D38CB"/>
    <w:rsid w:val="005D4D03"/>
    <w:rsid w:val="005D5292"/>
    <w:rsid w:val="005D5470"/>
    <w:rsid w:val="005D637B"/>
    <w:rsid w:val="005D6C7B"/>
    <w:rsid w:val="005D74B8"/>
    <w:rsid w:val="005E14F6"/>
    <w:rsid w:val="005E162C"/>
    <w:rsid w:val="005E26A1"/>
    <w:rsid w:val="005E2D33"/>
    <w:rsid w:val="005E3D2C"/>
    <w:rsid w:val="005E494F"/>
    <w:rsid w:val="005E4DEC"/>
    <w:rsid w:val="005E5312"/>
    <w:rsid w:val="005E588E"/>
    <w:rsid w:val="005E5F0F"/>
    <w:rsid w:val="005E6A52"/>
    <w:rsid w:val="005F0E22"/>
    <w:rsid w:val="005F15EA"/>
    <w:rsid w:val="005F1604"/>
    <w:rsid w:val="005F24F4"/>
    <w:rsid w:val="005F2903"/>
    <w:rsid w:val="005F31D7"/>
    <w:rsid w:val="005F3AA3"/>
    <w:rsid w:val="005F537F"/>
    <w:rsid w:val="005F7D07"/>
    <w:rsid w:val="005F7F0E"/>
    <w:rsid w:val="0060020D"/>
    <w:rsid w:val="006012D4"/>
    <w:rsid w:val="00602794"/>
    <w:rsid w:val="00604045"/>
    <w:rsid w:val="00604135"/>
    <w:rsid w:val="006058CB"/>
    <w:rsid w:val="0060650C"/>
    <w:rsid w:val="00606A32"/>
    <w:rsid w:val="0060733C"/>
    <w:rsid w:val="00607AE7"/>
    <w:rsid w:val="00610268"/>
    <w:rsid w:val="0061140B"/>
    <w:rsid w:val="00612945"/>
    <w:rsid w:val="00612DC2"/>
    <w:rsid w:val="00612DF2"/>
    <w:rsid w:val="00613453"/>
    <w:rsid w:val="00613CCF"/>
    <w:rsid w:val="00613EA8"/>
    <w:rsid w:val="00614271"/>
    <w:rsid w:val="0061470B"/>
    <w:rsid w:val="0061553E"/>
    <w:rsid w:val="0061636B"/>
    <w:rsid w:val="00616AE1"/>
    <w:rsid w:val="00617F6B"/>
    <w:rsid w:val="0062048C"/>
    <w:rsid w:val="00620561"/>
    <w:rsid w:val="0062067C"/>
    <w:rsid w:val="006214AD"/>
    <w:rsid w:val="00622E66"/>
    <w:rsid w:val="0062346A"/>
    <w:rsid w:val="006235C4"/>
    <w:rsid w:val="00624A82"/>
    <w:rsid w:val="00625592"/>
    <w:rsid w:val="00625863"/>
    <w:rsid w:val="00625F67"/>
    <w:rsid w:val="006260E5"/>
    <w:rsid w:val="006263FF"/>
    <w:rsid w:val="00627B69"/>
    <w:rsid w:val="0063129D"/>
    <w:rsid w:val="006316F1"/>
    <w:rsid w:val="006324A1"/>
    <w:rsid w:val="00633754"/>
    <w:rsid w:val="00634BCD"/>
    <w:rsid w:val="00634D59"/>
    <w:rsid w:val="00635E85"/>
    <w:rsid w:val="00636406"/>
    <w:rsid w:val="00637091"/>
    <w:rsid w:val="006371FF"/>
    <w:rsid w:val="0064065F"/>
    <w:rsid w:val="00641C39"/>
    <w:rsid w:val="00642014"/>
    <w:rsid w:val="0064299A"/>
    <w:rsid w:val="00642F52"/>
    <w:rsid w:val="00643716"/>
    <w:rsid w:val="00644A75"/>
    <w:rsid w:val="006472A0"/>
    <w:rsid w:val="00650DAE"/>
    <w:rsid w:val="00651512"/>
    <w:rsid w:val="006521F3"/>
    <w:rsid w:val="00653E20"/>
    <w:rsid w:val="00654956"/>
    <w:rsid w:val="00654DE7"/>
    <w:rsid w:val="0065533C"/>
    <w:rsid w:val="00656A9D"/>
    <w:rsid w:val="00656F5E"/>
    <w:rsid w:val="00661486"/>
    <w:rsid w:val="00662CBC"/>
    <w:rsid w:val="006661F1"/>
    <w:rsid w:val="006661F5"/>
    <w:rsid w:val="00666AAB"/>
    <w:rsid w:val="0067038D"/>
    <w:rsid w:val="0067060C"/>
    <w:rsid w:val="00671A6A"/>
    <w:rsid w:val="006727C3"/>
    <w:rsid w:val="006729C0"/>
    <w:rsid w:val="00672EF8"/>
    <w:rsid w:val="00673DE0"/>
    <w:rsid w:val="00673F0C"/>
    <w:rsid w:val="00673F58"/>
    <w:rsid w:val="006742A1"/>
    <w:rsid w:val="00675DB3"/>
    <w:rsid w:val="00675E8A"/>
    <w:rsid w:val="00676A38"/>
    <w:rsid w:val="00680098"/>
    <w:rsid w:val="00680957"/>
    <w:rsid w:val="00682148"/>
    <w:rsid w:val="00686325"/>
    <w:rsid w:val="00686EC4"/>
    <w:rsid w:val="00687063"/>
    <w:rsid w:val="00687463"/>
    <w:rsid w:val="00687B92"/>
    <w:rsid w:val="00690D7A"/>
    <w:rsid w:val="00691425"/>
    <w:rsid w:val="006941F5"/>
    <w:rsid w:val="00695416"/>
    <w:rsid w:val="00695E17"/>
    <w:rsid w:val="00696763"/>
    <w:rsid w:val="0069734A"/>
    <w:rsid w:val="00697896"/>
    <w:rsid w:val="006A1349"/>
    <w:rsid w:val="006A139A"/>
    <w:rsid w:val="006A1939"/>
    <w:rsid w:val="006A1AA8"/>
    <w:rsid w:val="006A2DBA"/>
    <w:rsid w:val="006A2EC3"/>
    <w:rsid w:val="006A303A"/>
    <w:rsid w:val="006A414E"/>
    <w:rsid w:val="006A45A4"/>
    <w:rsid w:val="006A4CF2"/>
    <w:rsid w:val="006A6BB4"/>
    <w:rsid w:val="006B0367"/>
    <w:rsid w:val="006B04AC"/>
    <w:rsid w:val="006B147C"/>
    <w:rsid w:val="006B202A"/>
    <w:rsid w:val="006B296E"/>
    <w:rsid w:val="006B4802"/>
    <w:rsid w:val="006B4A11"/>
    <w:rsid w:val="006B5097"/>
    <w:rsid w:val="006B5516"/>
    <w:rsid w:val="006B5CD7"/>
    <w:rsid w:val="006B5D36"/>
    <w:rsid w:val="006B5E1C"/>
    <w:rsid w:val="006B65F9"/>
    <w:rsid w:val="006B6B45"/>
    <w:rsid w:val="006B75D1"/>
    <w:rsid w:val="006B7A09"/>
    <w:rsid w:val="006C07AB"/>
    <w:rsid w:val="006C42CE"/>
    <w:rsid w:val="006C5486"/>
    <w:rsid w:val="006C592D"/>
    <w:rsid w:val="006C5B7B"/>
    <w:rsid w:val="006C5F25"/>
    <w:rsid w:val="006C74B3"/>
    <w:rsid w:val="006D1D8F"/>
    <w:rsid w:val="006D302F"/>
    <w:rsid w:val="006D3791"/>
    <w:rsid w:val="006D3801"/>
    <w:rsid w:val="006D3D4A"/>
    <w:rsid w:val="006D3EDB"/>
    <w:rsid w:val="006D465F"/>
    <w:rsid w:val="006D50AA"/>
    <w:rsid w:val="006D67B8"/>
    <w:rsid w:val="006D7021"/>
    <w:rsid w:val="006D7209"/>
    <w:rsid w:val="006D7A98"/>
    <w:rsid w:val="006E11C9"/>
    <w:rsid w:val="006E19AC"/>
    <w:rsid w:val="006E1DB5"/>
    <w:rsid w:val="006E31AE"/>
    <w:rsid w:val="006E4984"/>
    <w:rsid w:val="006E5E71"/>
    <w:rsid w:val="006E6031"/>
    <w:rsid w:val="006E61F6"/>
    <w:rsid w:val="006E6C99"/>
    <w:rsid w:val="006F09E9"/>
    <w:rsid w:val="006F12AB"/>
    <w:rsid w:val="006F2895"/>
    <w:rsid w:val="006F32BF"/>
    <w:rsid w:val="006F3311"/>
    <w:rsid w:val="006F38F6"/>
    <w:rsid w:val="006F3989"/>
    <w:rsid w:val="006F4219"/>
    <w:rsid w:val="006F5694"/>
    <w:rsid w:val="006F575A"/>
    <w:rsid w:val="00700A73"/>
    <w:rsid w:val="007015E9"/>
    <w:rsid w:val="00701999"/>
    <w:rsid w:val="00702050"/>
    <w:rsid w:val="00702A10"/>
    <w:rsid w:val="00702F25"/>
    <w:rsid w:val="00703BC1"/>
    <w:rsid w:val="00704993"/>
    <w:rsid w:val="00704E19"/>
    <w:rsid w:val="00704ED8"/>
    <w:rsid w:val="0070601C"/>
    <w:rsid w:val="00707008"/>
    <w:rsid w:val="00707F81"/>
    <w:rsid w:val="00710993"/>
    <w:rsid w:val="00712884"/>
    <w:rsid w:val="00712CDA"/>
    <w:rsid w:val="00713C6D"/>
    <w:rsid w:val="00715090"/>
    <w:rsid w:val="00715379"/>
    <w:rsid w:val="00715606"/>
    <w:rsid w:val="0071587A"/>
    <w:rsid w:val="007159EB"/>
    <w:rsid w:val="00715DA9"/>
    <w:rsid w:val="007160E0"/>
    <w:rsid w:val="00716E3F"/>
    <w:rsid w:val="00717083"/>
    <w:rsid w:val="007176DE"/>
    <w:rsid w:val="00717DE7"/>
    <w:rsid w:val="00720629"/>
    <w:rsid w:val="007207AD"/>
    <w:rsid w:val="00720B16"/>
    <w:rsid w:val="007219C5"/>
    <w:rsid w:val="007223FC"/>
    <w:rsid w:val="00723E5F"/>
    <w:rsid w:val="00723FBC"/>
    <w:rsid w:val="007250A4"/>
    <w:rsid w:val="00725F23"/>
    <w:rsid w:val="007261C4"/>
    <w:rsid w:val="007267EB"/>
    <w:rsid w:val="0072737A"/>
    <w:rsid w:val="00730159"/>
    <w:rsid w:val="00730C0D"/>
    <w:rsid w:val="00730DA4"/>
    <w:rsid w:val="0073129C"/>
    <w:rsid w:val="00731E0C"/>
    <w:rsid w:val="007339DB"/>
    <w:rsid w:val="00734F65"/>
    <w:rsid w:val="007356FC"/>
    <w:rsid w:val="00735CE3"/>
    <w:rsid w:val="0073608D"/>
    <w:rsid w:val="00736DAE"/>
    <w:rsid w:val="00740180"/>
    <w:rsid w:val="0074099C"/>
    <w:rsid w:val="0074101E"/>
    <w:rsid w:val="0074150A"/>
    <w:rsid w:val="00741FEC"/>
    <w:rsid w:val="007433D3"/>
    <w:rsid w:val="00743F1B"/>
    <w:rsid w:val="007441F6"/>
    <w:rsid w:val="0074430F"/>
    <w:rsid w:val="007448B9"/>
    <w:rsid w:val="00746100"/>
    <w:rsid w:val="007468E9"/>
    <w:rsid w:val="00746B9B"/>
    <w:rsid w:val="00746BED"/>
    <w:rsid w:val="00747D71"/>
    <w:rsid w:val="00750288"/>
    <w:rsid w:val="007508D6"/>
    <w:rsid w:val="00750C83"/>
    <w:rsid w:val="007512E0"/>
    <w:rsid w:val="00751BF1"/>
    <w:rsid w:val="007537F1"/>
    <w:rsid w:val="007538D7"/>
    <w:rsid w:val="00755016"/>
    <w:rsid w:val="007567FF"/>
    <w:rsid w:val="00756DA9"/>
    <w:rsid w:val="0075794D"/>
    <w:rsid w:val="00760537"/>
    <w:rsid w:val="007608C8"/>
    <w:rsid w:val="00761696"/>
    <w:rsid w:val="00761834"/>
    <w:rsid w:val="00761D56"/>
    <w:rsid w:val="00761E14"/>
    <w:rsid w:val="007620D8"/>
    <w:rsid w:val="007631A8"/>
    <w:rsid w:val="0076420A"/>
    <w:rsid w:val="00764576"/>
    <w:rsid w:val="0076492F"/>
    <w:rsid w:val="00764D0F"/>
    <w:rsid w:val="00764ED5"/>
    <w:rsid w:val="007658F8"/>
    <w:rsid w:val="007665AE"/>
    <w:rsid w:val="007665E7"/>
    <w:rsid w:val="0076696B"/>
    <w:rsid w:val="00767076"/>
    <w:rsid w:val="00770DFC"/>
    <w:rsid w:val="00771845"/>
    <w:rsid w:val="0077236E"/>
    <w:rsid w:val="00773845"/>
    <w:rsid w:val="00775282"/>
    <w:rsid w:val="0077605D"/>
    <w:rsid w:val="007768BA"/>
    <w:rsid w:val="007801FF"/>
    <w:rsid w:val="00780896"/>
    <w:rsid w:val="00780E48"/>
    <w:rsid w:val="00780FF2"/>
    <w:rsid w:val="007815A1"/>
    <w:rsid w:val="00783BF6"/>
    <w:rsid w:val="0078501F"/>
    <w:rsid w:val="00785229"/>
    <w:rsid w:val="00787AD0"/>
    <w:rsid w:val="0079186B"/>
    <w:rsid w:val="007919EE"/>
    <w:rsid w:val="007921AF"/>
    <w:rsid w:val="00792775"/>
    <w:rsid w:val="0079299C"/>
    <w:rsid w:val="00792F10"/>
    <w:rsid w:val="00793079"/>
    <w:rsid w:val="00793312"/>
    <w:rsid w:val="00793932"/>
    <w:rsid w:val="00793A91"/>
    <w:rsid w:val="00795191"/>
    <w:rsid w:val="00796A9E"/>
    <w:rsid w:val="00796F17"/>
    <w:rsid w:val="00797087"/>
    <w:rsid w:val="00797687"/>
    <w:rsid w:val="007A0BE3"/>
    <w:rsid w:val="007A0D7C"/>
    <w:rsid w:val="007A0D88"/>
    <w:rsid w:val="007A25AF"/>
    <w:rsid w:val="007A30A5"/>
    <w:rsid w:val="007A5FB9"/>
    <w:rsid w:val="007A601B"/>
    <w:rsid w:val="007A6073"/>
    <w:rsid w:val="007A70C6"/>
    <w:rsid w:val="007B0E23"/>
    <w:rsid w:val="007B0FA2"/>
    <w:rsid w:val="007B11D0"/>
    <w:rsid w:val="007B1CB5"/>
    <w:rsid w:val="007B27E9"/>
    <w:rsid w:val="007B2987"/>
    <w:rsid w:val="007B56C8"/>
    <w:rsid w:val="007B586D"/>
    <w:rsid w:val="007B661E"/>
    <w:rsid w:val="007B6A8F"/>
    <w:rsid w:val="007B70D3"/>
    <w:rsid w:val="007C0643"/>
    <w:rsid w:val="007C1116"/>
    <w:rsid w:val="007C1D7C"/>
    <w:rsid w:val="007C3AA6"/>
    <w:rsid w:val="007C4EF2"/>
    <w:rsid w:val="007C55D4"/>
    <w:rsid w:val="007D093F"/>
    <w:rsid w:val="007D0BE8"/>
    <w:rsid w:val="007D1508"/>
    <w:rsid w:val="007D36CA"/>
    <w:rsid w:val="007D415B"/>
    <w:rsid w:val="007D4C02"/>
    <w:rsid w:val="007D5920"/>
    <w:rsid w:val="007D6731"/>
    <w:rsid w:val="007D6837"/>
    <w:rsid w:val="007D689F"/>
    <w:rsid w:val="007D7001"/>
    <w:rsid w:val="007D7101"/>
    <w:rsid w:val="007D782F"/>
    <w:rsid w:val="007D7E87"/>
    <w:rsid w:val="007E10DA"/>
    <w:rsid w:val="007E1ECC"/>
    <w:rsid w:val="007E205F"/>
    <w:rsid w:val="007E2A09"/>
    <w:rsid w:val="007E3E49"/>
    <w:rsid w:val="007E40DD"/>
    <w:rsid w:val="007E4D5F"/>
    <w:rsid w:val="007E7C73"/>
    <w:rsid w:val="007F0225"/>
    <w:rsid w:val="007F0AC8"/>
    <w:rsid w:val="007F0CB1"/>
    <w:rsid w:val="007F10CE"/>
    <w:rsid w:val="007F167C"/>
    <w:rsid w:val="007F2066"/>
    <w:rsid w:val="007F2962"/>
    <w:rsid w:val="007F2B93"/>
    <w:rsid w:val="007F2E40"/>
    <w:rsid w:val="007F3367"/>
    <w:rsid w:val="007F37A4"/>
    <w:rsid w:val="007F3924"/>
    <w:rsid w:val="007F3AEC"/>
    <w:rsid w:val="007F4005"/>
    <w:rsid w:val="007F4093"/>
    <w:rsid w:val="007F4EA3"/>
    <w:rsid w:val="007F64E9"/>
    <w:rsid w:val="007F6A85"/>
    <w:rsid w:val="007F6E58"/>
    <w:rsid w:val="007F7EFE"/>
    <w:rsid w:val="00800A2A"/>
    <w:rsid w:val="0080100B"/>
    <w:rsid w:val="00802421"/>
    <w:rsid w:val="00802684"/>
    <w:rsid w:val="00803598"/>
    <w:rsid w:val="00803820"/>
    <w:rsid w:val="00804380"/>
    <w:rsid w:val="00804490"/>
    <w:rsid w:val="008049F3"/>
    <w:rsid w:val="00804D8E"/>
    <w:rsid w:val="00806B2A"/>
    <w:rsid w:val="00807DC3"/>
    <w:rsid w:val="008100E5"/>
    <w:rsid w:val="00810DA4"/>
    <w:rsid w:val="00810F17"/>
    <w:rsid w:val="00811731"/>
    <w:rsid w:val="00811D3C"/>
    <w:rsid w:val="0081266C"/>
    <w:rsid w:val="00812D6B"/>
    <w:rsid w:val="0081309B"/>
    <w:rsid w:val="00813597"/>
    <w:rsid w:val="008138AD"/>
    <w:rsid w:val="00814A29"/>
    <w:rsid w:val="00816657"/>
    <w:rsid w:val="00817FEF"/>
    <w:rsid w:val="00820486"/>
    <w:rsid w:val="008207D6"/>
    <w:rsid w:val="00820999"/>
    <w:rsid w:val="00820F1F"/>
    <w:rsid w:val="008259B8"/>
    <w:rsid w:val="00825ADA"/>
    <w:rsid w:val="00825DEA"/>
    <w:rsid w:val="008279A8"/>
    <w:rsid w:val="00827E59"/>
    <w:rsid w:val="00827EA7"/>
    <w:rsid w:val="0083050A"/>
    <w:rsid w:val="00830547"/>
    <w:rsid w:val="00830D5E"/>
    <w:rsid w:val="0083160C"/>
    <w:rsid w:val="00832CEE"/>
    <w:rsid w:val="0083338A"/>
    <w:rsid w:val="00833410"/>
    <w:rsid w:val="00833923"/>
    <w:rsid w:val="00834CDA"/>
    <w:rsid w:val="00835C70"/>
    <w:rsid w:val="008362EF"/>
    <w:rsid w:val="008367C0"/>
    <w:rsid w:val="00836B0B"/>
    <w:rsid w:val="0083710E"/>
    <w:rsid w:val="0083734F"/>
    <w:rsid w:val="00837845"/>
    <w:rsid w:val="00840F68"/>
    <w:rsid w:val="008416BE"/>
    <w:rsid w:val="00841ACC"/>
    <w:rsid w:val="00842B7A"/>
    <w:rsid w:val="00843EBB"/>
    <w:rsid w:val="008443EB"/>
    <w:rsid w:val="00844E1C"/>
    <w:rsid w:val="00846D82"/>
    <w:rsid w:val="00850104"/>
    <w:rsid w:val="008510F2"/>
    <w:rsid w:val="00851593"/>
    <w:rsid w:val="00854456"/>
    <w:rsid w:val="00854727"/>
    <w:rsid w:val="00854DDC"/>
    <w:rsid w:val="00855674"/>
    <w:rsid w:val="00861AE4"/>
    <w:rsid w:val="00861E88"/>
    <w:rsid w:val="008623AA"/>
    <w:rsid w:val="0086291A"/>
    <w:rsid w:val="00862D4F"/>
    <w:rsid w:val="00865ACD"/>
    <w:rsid w:val="00867308"/>
    <w:rsid w:val="00867A01"/>
    <w:rsid w:val="0087024A"/>
    <w:rsid w:val="00871456"/>
    <w:rsid w:val="00872ABA"/>
    <w:rsid w:val="00872B47"/>
    <w:rsid w:val="00872FCE"/>
    <w:rsid w:val="0087358C"/>
    <w:rsid w:val="0087425F"/>
    <w:rsid w:val="00874EBD"/>
    <w:rsid w:val="00875DC4"/>
    <w:rsid w:val="008761FC"/>
    <w:rsid w:val="00876856"/>
    <w:rsid w:val="0087788E"/>
    <w:rsid w:val="00877D2F"/>
    <w:rsid w:val="008800C1"/>
    <w:rsid w:val="00880F0C"/>
    <w:rsid w:val="00881137"/>
    <w:rsid w:val="008829A2"/>
    <w:rsid w:val="00882AD1"/>
    <w:rsid w:val="00883A75"/>
    <w:rsid w:val="00883B8A"/>
    <w:rsid w:val="00883F46"/>
    <w:rsid w:val="00883F98"/>
    <w:rsid w:val="00884396"/>
    <w:rsid w:val="008843FC"/>
    <w:rsid w:val="0088463B"/>
    <w:rsid w:val="008861C5"/>
    <w:rsid w:val="008862BD"/>
    <w:rsid w:val="00886F17"/>
    <w:rsid w:val="008917E7"/>
    <w:rsid w:val="008919EC"/>
    <w:rsid w:val="00891BDF"/>
    <w:rsid w:val="00892508"/>
    <w:rsid w:val="00893970"/>
    <w:rsid w:val="00895BBE"/>
    <w:rsid w:val="008962E9"/>
    <w:rsid w:val="0089653C"/>
    <w:rsid w:val="0089774C"/>
    <w:rsid w:val="008A0DE6"/>
    <w:rsid w:val="008A1FF5"/>
    <w:rsid w:val="008A233D"/>
    <w:rsid w:val="008A237E"/>
    <w:rsid w:val="008A356F"/>
    <w:rsid w:val="008A37B9"/>
    <w:rsid w:val="008A447D"/>
    <w:rsid w:val="008A4AF5"/>
    <w:rsid w:val="008A4F12"/>
    <w:rsid w:val="008A53D6"/>
    <w:rsid w:val="008A62A5"/>
    <w:rsid w:val="008A7075"/>
    <w:rsid w:val="008A792B"/>
    <w:rsid w:val="008A7E2E"/>
    <w:rsid w:val="008B07A4"/>
    <w:rsid w:val="008B18AE"/>
    <w:rsid w:val="008B3124"/>
    <w:rsid w:val="008B3E56"/>
    <w:rsid w:val="008B577A"/>
    <w:rsid w:val="008B6744"/>
    <w:rsid w:val="008B71FF"/>
    <w:rsid w:val="008B72A5"/>
    <w:rsid w:val="008B7762"/>
    <w:rsid w:val="008C03E2"/>
    <w:rsid w:val="008C0421"/>
    <w:rsid w:val="008C0944"/>
    <w:rsid w:val="008C1918"/>
    <w:rsid w:val="008C1A51"/>
    <w:rsid w:val="008C2A4A"/>
    <w:rsid w:val="008C2F29"/>
    <w:rsid w:val="008C4272"/>
    <w:rsid w:val="008C4AD0"/>
    <w:rsid w:val="008C4B79"/>
    <w:rsid w:val="008C50D3"/>
    <w:rsid w:val="008C5E4E"/>
    <w:rsid w:val="008C5F9A"/>
    <w:rsid w:val="008C63CA"/>
    <w:rsid w:val="008C6740"/>
    <w:rsid w:val="008C6B30"/>
    <w:rsid w:val="008C7EEA"/>
    <w:rsid w:val="008D08E3"/>
    <w:rsid w:val="008D0BD7"/>
    <w:rsid w:val="008D3033"/>
    <w:rsid w:val="008D4055"/>
    <w:rsid w:val="008D493B"/>
    <w:rsid w:val="008D4A7C"/>
    <w:rsid w:val="008D51DA"/>
    <w:rsid w:val="008D524B"/>
    <w:rsid w:val="008D53A9"/>
    <w:rsid w:val="008D5615"/>
    <w:rsid w:val="008D5F0D"/>
    <w:rsid w:val="008D60E6"/>
    <w:rsid w:val="008D683A"/>
    <w:rsid w:val="008D7B17"/>
    <w:rsid w:val="008E0359"/>
    <w:rsid w:val="008E039D"/>
    <w:rsid w:val="008E0805"/>
    <w:rsid w:val="008E0FFB"/>
    <w:rsid w:val="008E11F0"/>
    <w:rsid w:val="008E23D0"/>
    <w:rsid w:val="008E2B4D"/>
    <w:rsid w:val="008E3094"/>
    <w:rsid w:val="008E3295"/>
    <w:rsid w:val="008E3532"/>
    <w:rsid w:val="008E35F7"/>
    <w:rsid w:val="008E3F54"/>
    <w:rsid w:val="008E48EA"/>
    <w:rsid w:val="008E49E4"/>
    <w:rsid w:val="008E55EA"/>
    <w:rsid w:val="008E5926"/>
    <w:rsid w:val="008E7105"/>
    <w:rsid w:val="008E75C5"/>
    <w:rsid w:val="008E7604"/>
    <w:rsid w:val="008E7887"/>
    <w:rsid w:val="008E7E6E"/>
    <w:rsid w:val="008F1194"/>
    <w:rsid w:val="008F11E3"/>
    <w:rsid w:val="008F1615"/>
    <w:rsid w:val="008F1816"/>
    <w:rsid w:val="008F1871"/>
    <w:rsid w:val="008F1884"/>
    <w:rsid w:val="008F20FA"/>
    <w:rsid w:val="008F237A"/>
    <w:rsid w:val="008F2796"/>
    <w:rsid w:val="008F29A9"/>
    <w:rsid w:val="008F34D3"/>
    <w:rsid w:val="008F5F55"/>
    <w:rsid w:val="008F66A7"/>
    <w:rsid w:val="008F6A2F"/>
    <w:rsid w:val="008F6B5E"/>
    <w:rsid w:val="008F755E"/>
    <w:rsid w:val="008F79D0"/>
    <w:rsid w:val="009008B1"/>
    <w:rsid w:val="00901193"/>
    <w:rsid w:val="009014E6"/>
    <w:rsid w:val="00902015"/>
    <w:rsid w:val="009021EE"/>
    <w:rsid w:val="00902471"/>
    <w:rsid w:val="0090323F"/>
    <w:rsid w:val="00903531"/>
    <w:rsid w:val="00904A65"/>
    <w:rsid w:val="00905793"/>
    <w:rsid w:val="00905FE5"/>
    <w:rsid w:val="00906800"/>
    <w:rsid w:val="00907263"/>
    <w:rsid w:val="0090768C"/>
    <w:rsid w:val="0091019D"/>
    <w:rsid w:val="009103EE"/>
    <w:rsid w:val="009123F6"/>
    <w:rsid w:val="00912B28"/>
    <w:rsid w:val="00912B7F"/>
    <w:rsid w:val="009132C9"/>
    <w:rsid w:val="00913E2A"/>
    <w:rsid w:val="00913EF8"/>
    <w:rsid w:val="0091468D"/>
    <w:rsid w:val="0091475E"/>
    <w:rsid w:val="00915341"/>
    <w:rsid w:val="00916155"/>
    <w:rsid w:val="009163B6"/>
    <w:rsid w:val="00916B61"/>
    <w:rsid w:val="00916CDE"/>
    <w:rsid w:val="00917ED2"/>
    <w:rsid w:val="00917F42"/>
    <w:rsid w:val="0092089A"/>
    <w:rsid w:val="00920CD5"/>
    <w:rsid w:val="009217A9"/>
    <w:rsid w:val="0092287C"/>
    <w:rsid w:val="00922F1E"/>
    <w:rsid w:val="00922F29"/>
    <w:rsid w:val="009231E6"/>
    <w:rsid w:val="00924634"/>
    <w:rsid w:val="0092497B"/>
    <w:rsid w:val="00924ED9"/>
    <w:rsid w:val="009274FA"/>
    <w:rsid w:val="0093042C"/>
    <w:rsid w:val="00930453"/>
    <w:rsid w:val="00931316"/>
    <w:rsid w:val="00932982"/>
    <w:rsid w:val="00933086"/>
    <w:rsid w:val="00933E38"/>
    <w:rsid w:val="00934A0F"/>
    <w:rsid w:val="009367EB"/>
    <w:rsid w:val="00937ED6"/>
    <w:rsid w:val="009406E7"/>
    <w:rsid w:val="00940B04"/>
    <w:rsid w:val="00940EB0"/>
    <w:rsid w:val="00941E97"/>
    <w:rsid w:val="00942124"/>
    <w:rsid w:val="009433A0"/>
    <w:rsid w:val="00943948"/>
    <w:rsid w:val="00943CD4"/>
    <w:rsid w:val="00944AB3"/>
    <w:rsid w:val="00946893"/>
    <w:rsid w:val="00950141"/>
    <w:rsid w:val="0095074C"/>
    <w:rsid w:val="00950840"/>
    <w:rsid w:val="00950BCE"/>
    <w:rsid w:val="00950E4D"/>
    <w:rsid w:val="00950FC7"/>
    <w:rsid w:val="00953FB3"/>
    <w:rsid w:val="0095455D"/>
    <w:rsid w:val="0095482D"/>
    <w:rsid w:val="009563AA"/>
    <w:rsid w:val="0095738C"/>
    <w:rsid w:val="00957540"/>
    <w:rsid w:val="009623A4"/>
    <w:rsid w:val="00964724"/>
    <w:rsid w:val="00964C1A"/>
    <w:rsid w:val="00964E99"/>
    <w:rsid w:val="00965097"/>
    <w:rsid w:val="0096515A"/>
    <w:rsid w:val="00965C79"/>
    <w:rsid w:val="00965F24"/>
    <w:rsid w:val="00965F7C"/>
    <w:rsid w:val="00965FB3"/>
    <w:rsid w:val="00966601"/>
    <w:rsid w:val="00967094"/>
    <w:rsid w:val="0096765C"/>
    <w:rsid w:val="00970079"/>
    <w:rsid w:val="009700A9"/>
    <w:rsid w:val="00970819"/>
    <w:rsid w:val="00970A79"/>
    <w:rsid w:val="00971162"/>
    <w:rsid w:val="00971CD5"/>
    <w:rsid w:val="0097367A"/>
    <w:rsid w:val="00973C9C"/>
    <w:rsid w:val="009748A7"/>
    <w:rsid w:val="009750BB"/>
    <w:rsid w:val="009752BD"/>
    <w:rsid w:val="009758CF"/>
    <w:rsid w:val="009760D2"/>
    <w:rsid w:val="00976C8D"/>
    <w:rsid w:val="00977774"/>
    <w:rsid w:val="009779C3"/>
    <w:rsid w:val="0098031A"/>
    <w:rsid w:val="00982CA9"/>
    <w:rsid w:val="0098589D"/>
    <w:rsid w:val="0098672A"/>
    <w:rsid w:val="00986A0B"/>
    <w:rsid w:val="009875D0"/>
    <w:rsid w:val="00990141"/>
    <w:rsid w:val="00990D6F"/>
    <w:rsid w:val="0099157D"/>
    <w:rsid w:val="0099378B"/>
    <w:rsid w:val="00993A67"/>
    <w:rsid w:val="00994D7F"/>
    <w:rsid w:val="009962A0"/>
    <w:rsid w:val="0099644E"/>
    <w:rsid w:val="0099649C"/>
    <w:rsid w:val="00996F8C"/>
    <w:rsid w:val="009976EF"/>
    <w:rsid w:val="009A0627"/>
    <w:rsid w:val="009A2423"/>
    <w:rsid w:val="009A44CB"/>
    <w:rsid w:val="009A454D"/>
    <w:rsid w:val="009A472B"/>
    <w:rsid w:val="009A5C14"/>
    <w:rsid w:val="009A7763"/>
    <w:rsid w:val="009A7B95"/>
    <w:rsid w:val="009A7C59"/>
    <w:rsid w:val="009A7F14"/>
    <w:rsid w:val="009B05E8"/>
    <w:rsid w:val="009B05F1"/>
    <w:rsid w:val="009B126C"/>
    <w:rsid w:val="009B1466"/>
    <w:rsid w:val="009B24CF"/>
    <w:rsid w:val="009B2CF2"/>
    <w:rsid w:val="009B30DC"/>
    <w:rsid w:val="009B45E7"/>
    <w:rsid w:val="009B493A"/>
    <w:rsid w:val="009B4DE3"/>
    <w:rsid w:val="009B6612"/>
    <w:rsid w:val="009B6A55"/>
    <w:rsid w:val="009C0048"/>
    <w:rsid w:val="009C0B36"/>
    <w:rsid w:val="009C158C"/>
    <w:rsid w:val="009C196E"/>
    <w:rsid w:val="009C2E58"/>
    <w:rsid w:val="009C3B52"/>
    <w:rsid w:val="009C40BE"/>
    <w:rsid w:val="009C40DF"/>
    <w:rsid w:val="009C455F"/>
    <w:rsid w:val="009C4A6F"/>
    <w:rsid w:val="009C6025"/>
    <w:rsid w:val="009C76A3"/>
    <w:rsid w:val="009C781F"/>
    <w:rsid w:val="009C791B"/>
    <w:rsid w:val="009C7A08"/>
    <w:rsid w:val="009D02E1"/>
    <w:rsid w:val="009D0E4E"/>
    <w:rsid w:val="009D127D"/>
    <w:rsid w:val="009D18A0"/>
    <w:rsid w:val="009D1BEE"/>
    <w:rsid w:val="009D1EF0"/>
    <w:rsid w:val="009D2082"/>
    <w:rsid w:val="009D34D4"/>
    <w:rsid w:val="009D375C"/>
    <w:rsid w:val="009D3A40"/>
    <w:rsid w:val="009D478F"/>
    <w:rsid w:val="009D479C"/>
    <w:rsid w:val="009D4DC3"/>
    <w:rsid w:val="009D5125"/>
    <w:rsid w:val="009D5ED6"/>
    <w:rsid w:val="009D669B"/>
    <w:rsid w:val="009D69A8"/>
    <w:rsid w:val="009D6C7E"/>
    <w:rsid w:val="009D705F"/>
    <w:rsid w:val="009D73BF"/>
    <w:rsid w:val="009D7BE9"/>
    <w:rsid w:val="009D7BFB"/>
    <w:rsid w:val="009D7E79"/>
    <w:rsid w:val="009E095E"/>
    <w:rsid w:val="009E1028"/>
    <w:rsid w:val="009E1143"/>
    <w:rsid w:val="009E1E3D"/>
    <w:rsid w:val="009E2925"/>
    <w:rsid w:val="009E2993"/>
    <w:rsid w:val="009E3549"/>
    <w:rsid w:val="009E409E"/>
    <w:rsid w:val="009E4EC0"/>
    <w:rsid w:val="009E5732"/>
    <w:rsid w:val="009E63C4"/>
    <w:rsid w:val="009E7131"/>
    <w:rsid w:val="009F0065"/>
    <w:rsid w:val="009F0651"/>
    <w:rsid w:val="009F0908"/>
    <w:rsid w:val="009F160E"/>
    <w:rsid w:val="009F1BCB"/>
    <w:rsid w:val="009F2488"/>
    <w:rsid w:val="009F421F"/>
    <w:rsid w:val="009F62DB"/>
    <w:rsid w:val="009F669D"/>
    <w:rsid w:val="009F6E81"/>
    <w:rsid w:val="009F6FCA"/>
    <w:rsid w:val="009F7321"/>
    <w:rsid w:val="009F77B1"/>
    <w:rsid w:val="00A00194"/>
    <w:rsid w:val="00A003DD"/>
    <w:rsid w:val="00A00568"/>
    <w:rsid w:val="00A00FD1"/>
    <w:rsid w:val="00A02556"/>
    <w:rsid w:val="00A02BF2"/>
    <w:rsid w:val="00A031F9"/>
    <w:rsid w:val="00A0399F"/>
    <w:rsid w:val="00A0406C"/>
    <w:rsid w:val="00A05284"/>
    <w:rsid w:val="00A05A0B"/>
    <w:rsid w:val="00A05E0C"/>
    <w:rsid w:val="00A062A6"/>
    <w:rsid w:val="00A07512"/>
    <w:rsid w:val="00A075F3"/>
    <w:rsid w:val="00A121F0"/>
    <w:rsid w:val="00A12FE6"/>
    <w:rsid w:val="00A13F54"/>
    <w:rsid w:val="00A1486A"/>
    <w:rsid w:val="00A14944"/>
    <w:rsid w:val="00A16B52"/>
    <w:rsid w:val="00A17DED"/>
    <w:rsid w:val="00A20102"/>
    <w:rsid w:val="00A2017E"/>
    <w:rsid w:val="00A2131E"/>
    <w:rsid w:val="00A22515"/>
    <w:rsid w:val="00A2337E"/>
    <w:rsid w:val="00A24765"/>
    <w:rsid w:val="00A24A28"/>
    <w:rsid w:val="00A24C31"/>
    <w:rsid w:val="00A24FA6"/>
    <w:rsid w:val="00A25060"/>
    <w:rsid w:val="00A2547A"/>
    <w:rsid w:val="00A25882"/>
    <w:rsid w:val="00A261BA"/>
    <w:rsid w:val="00A3030B"/>
    <w:rsid w:val="00A31B07"/>
    <w:rsid w:val="00A32DAE"/>
    <w:rsid w:val="00A33C0F"/>
    <w:rsid w:val="00A35F17"/>
    <w:rsid w:val="00A3639E"/>
    <w:rsid w:val="00A3659C"/>
    <w:rsid w:val="00A36A51"/>
    <w:rsid w:val="00A3750B"/>
    <w:rsid w:val="00A40328"/>
    <w:rsid w:val="00A403A8"/>
    <w:rsid w:val="00A404B2"/>
    <w:rsid w:val="00A412C2"/>
    <w:rsid w:val="00A41901"/>
    <w:rsid w:val="00A428F3"/>
    <w:rsid w:val="00A43301"/>
    <w:rsid w:val="00A43CA9"/>
    <w:rsid w:val="00A44509"/>
    <w:rsid w:val="00A446D4"/>
    <w:rsid w:val="00A4582E"/>
    <w:rsid w:val="00A466C5"/>
    <w:rsid w:val="00A472C5"/>
    <w:rsid w:val="00A4740D"/>
    <w:rsid w:val="00A50CD1"/>
    <w:rsid w:val="00A50DA3"/>
    <w:rsid w:val="00A50F59"/>
    <w:rsid w:val="00A52008"/>
    <w:rsid w:val="00A528CC"/>
    <w:rsid w:val="00A52EF0"/>
    <w:rsid w:val="00A53CE6"/>
    <w:rsid w:val="00A5472F"/>
    <w:rsid w:val="00A54975"/>
    <w:rsid w:val="00A54C4F"/>
    <w:rsid w:val="00A54C94"/>
    <w:rsid w:val="00A555D1"/>
    <w:rsid w:val="00A560DE"/>
    <w:rsid w:val="00A56F02"/>
    <w:rsid w:val="00A57FD5"/>
    <w:rsid w:val="00A60AB7"/>
    <w:rsid w:val="00A615FC"/>
    <w:rsid w:val="00A62028"/>
    <w:rsid w:val="00A6320B"/>
    <w:rsid w:val="00A63FA3"/>
    <w:rsid w:val="00A643BD"/>
    <w:rsid w:val="00A64491"/>
    <w:rsid w:val="00A666EB"/>
    <w:rsid w:val="00A66DA4"/>
    <w:rsid w:val="00A7108C"/>
    <w:rsid w:val="00A718E9"/>
    <w:rsid w:val="00A7441C"/>
    <w:rsid w:val="00A75036"/>
    <w:rsid w:val="00A7606A"/>
    <w:rsid w:val="00A7702A"/>
    <w:rsid w:val="00A77956"/>
    <w:rsid w:val="00A80332"/>
    <w:rsid w:val="00A80D18"/>
    <w:rsid w:val="00A81297"/>
    <w:rsid w:val="00A81EE4"/>
    <w:rsid w:val="00A824C9"/>
    <w:rsid w:val="00A829E3"/>
    <w:rsid w:val="00A83C15"/>
    <w:rsid w:val="00A84413"/>
    <w:rsid w:val="00A848A5"/>
    <w:rsid w:val="00A85069"/>
    <w:rsid w:val="00A851D3"/>
    <w:rsid w:val="00A85A4E"/>
    <w:rsid w:val="00A85C99"/>
    <w:rsid w:val="00A85F3A"/>
    <w:rsid w:val="00A86059"/>
    <w:rsid w:val="00A8682A"/>
    <w:rsid w:val="00A86C74"/>
    <w:rsid w:val="00A877EA"/>
    <w:rsid w:val="00A87CC6"/>
    <w:rsid w:val="00A90434"/>
    <w:rsid w:val="00A90848"/>
    <w:rsid w:val="00A90C30"/>
    <w:rsid w:val="00A90D44"/>
    <w:rsid w:val="00A90D5D"/>
    <w:rsid w:val="00A919A8"/>
    <w:rsid w:val="00A941A6"/>
    <w:rsid w:val="00A95130"/>
    <w:rsid w:val="00A95E04"/>
    <w:rsid w:val="00A9664D"/>
    <w:rsid w:val="00A9702D"/>
    <w:rsid w:val="00A97794"/>
    <w:rsid w:val="00AA09CE"/>
    <w:rsid w:val="00AA109A"/>
    <w:rsid w:val="00AA184D"/>
    <w:rsid w:val="00AA3ADF"/>
    <w:rsid w:val="00AA4945"/>
    <w:rsid w:val="00AA4CF5"/>
    <w:rsid w:val="00AA4F18"/>
    <w:rsid w:val="00AA5089"/>
    <w:rsid w:val="00AA7490"/>
    <w:rsid w:val="00AA7EB9"/>
    <w:rsid w:val="00AB0321"/>
    <w:rsid w:val="00AB13D8"/>
    <w:rsid w:val="00AB21EA"/>
    <w:rsid w:val="00AB22C2"/>
    <w:rsid w:val="00AB23B1"/>
    <w:rsid w:val="00AB29DA"/>
    <w:rsid w:val="00AB2D5C"/>
    <w:rsid w:val="00AB44ED"/>
    <w:rsid w:val="00AB51C0"/>
    <w:rsid w:val="00AB538D"/>
    <w:rsid w:val="00AB6BAC"/>
    <w:rsid w:val="00AB70F7"/>
    <w:rsid w:val="00AC0022"/>
    <w:rsid w:val="00AC0AB2"/>
    <w:rsid w:val="00AC12F5"/>
    <w:rsid w:val="00AC289B"/>
    <w:rsid w:val="00AC37A1"/>
    <w:rsid w:val="00AC5006"/>
    <w:rsid w:val="00AC56CE"/>
    <w:rsid w:val="00AC59CF"/>
    <w:rsid w:val="00AC604F"/>
    <w:rsid w:val="00AC69E5"/>
    <w:rsid w:val="00AC71B2"/>
    <w:rsid w:val="00AC7CB2"/>
    <w:rsid w:val="00AD0495"/>
    <w:rsid w:val="00AD25B3"/>
    <w:rsid w:val="00AD2C27"/>
    <w:rsid w:val="00AD2F15"/>
    <w:rsid w:val="00AD4224"/>
    <w:rsid w:val="00AD4E75"/>
    <w:rsid w:val="00AD523B"/>
    <w:rsid w:val="00AD6DC7"/>
    <w:rsid w:val="00AD74C8"/>
    <w:rsid w:val="00AE018F"/>
    <w:rsid w:val="00AE1909"/>
    <w:rsid w:val="00AE1E31"/>
    <w:rsid w:val="00AE1F27"/>
    <w:rsid w:val="00AE3181"/>
    <w:rsid w:val="00AE357C"/>
    <w:rsid w:val="00AE7531"/>
    <w:rsid w:val="00AE7EDF"/>
    <w:rsid w:val="00AF07F9"/>
    <w:rsid w:val="00AF165B"/>
    <w:rsid w:val="00AF2C19"/>
    <w:rsid w:val="00AF3257"/>
    <w:rsid w:val="00AF34AF"/>
    <w:rsid w:val="00AF3D16"/>
    <w:rsid w:val="00AF4186"/>
    <w:rsid w:val="00AF47A4"/>
    <w:rsid w:val="00AF6432"/>
    <w:rsid w:val="00AF687C"/>
    <w:rsid w:val="00AF6C4D"/>
    <w:rsid w:val="00B01120"/>
    <w:rsid w:val="00B01969"/>
    <w:rsid w:val="00B04BED"/>
    <w:rsid w:val="00B052CB"/>
    <w:rsid w:val="00B054AC"/>
    <w:rsid w:val="00B06368"/>
    <w:rsid w:val="00B0750E"/>
    <w:rsid w:val="00B10470"/>
    <w:rsid w:val="00B10AEC"/>
    <w:rsid w:val="00B11217"/>
    <w:rsid w:val="00B11660"/>
    <w:rsid w:val="00B120E4"/>
    <w:rsid w:val="00B12515"/>
    <w:rsid w:val="00B139D2"/>
    <w:rsid w:val="00B16963"/>
    <w:rsid w:val="00B16C3A"/>
    <w:rsid w:val="00B2044E"/>
    <w:rsid w:val="00B2115F"/>
    <w:rsid w:val="00B21902"/>
    <w:rsid w:val="00B21BA2"/>
    <w:rsid w:val="00B22768"/>
    <w:rsid w:val="00B22779"/>
    <w:rsid w:val="00B2314C"/>
    <w:rsid w:val="00B234B3"/>
    <w:rsid w:val="00B23C83"/>
    <w:rsid w:val="00B24E70"/>
    <w:rsid w:val="00B24FA2"/>
    <w:rsid w:val="00B30BB7"/>
    <w:rsid w:val="00B3110A"/>
    <w:rsid w:val="00B3166E"/>
    <w:rsid w:val="00B320FF"/>
    <w:rsid w:val="00B32620"/>
    <w:rsid w:val="00B32906"/>
    <w:rsid w:val="00B32B9E"/>
    <w:rsid w:val="00B32FB1"/>
    <w:rsid w:val="00B33921"/>
    <w:rsid w:val="00B33FCF"/>
    <w:rsid w:val="00B340E9"/>
    <w:rsid w:val="00B349EE"/>
    <w:rsid w:val="00B3528D"/>
    <w:rsid w:val="00B35AFE"/>
    <w:rsid w:val="00B35D3A"/>
    <w:rsid w:val="00B35E9F"/>
    <w:rsid w:val="00B372E0"/>
    <w:rsid w:val="00B4016D"/>
    <w:rsid w:val="00B40329"/>
    <w:rsid w:val="00B4063B"/>
    <w:rsid w:val="00B40B8D"/>
    <w:rsid w:val="00B4103B"/>
    <w:rsid w:val="00B41973"/>
    <w:rsid w:val="00B432A2"/>
    <w:rsid w:val="00B45440"/>
    <w:rsid w:val="00B50250"/>
    <w:rsid w:val="00B50F34"/>
    <w:rsid w:val="00B53839"/>
    <w:rsid w:val="00B5466A"/>
    <w:rsid w:val="00B546E5"/>
    <w:rsid w:val="00B548F1"/>
    <w:rsid w:val="00B54E07"/>
    <w:rsid w:val="00B565C8"/>
    <w:rsid w:val="00B56B0F"/>
    <w:rsid w:val="00B57F78"/>
    <w:rsid w:val="00B6141E"/>
    <w:rsid w:val="00B62F9E"/>
    <w:rsid w:val="00B64AF1"/>
    <w:rsid w:val="00B67ED0"/>
    <w:rsid w:val="00B70DE4"/>
    <w:rsid w:val="00B70E53"/>
    <w:rsid w:val="00B71451"/>
    <w:rsid w:val="00B71A00"/>
    <w:rsid w:val="00B74278"/>
    <w:rsid w:val="00B74705"/>
    <w:rsid w:val="00B74730"/>
    <w:rsid w:val="00B749D6"/>
    <w:rsid w:val="00B75149"/>
    <w:rsid w:val="00B75C22"/>
    <w:rsid w:val="00B768B6"/>
    <w:rsid w:val="00B76DEF"/>
    <w:rsid w:val="00B77767"/>
    <w:rsid w:val="00B803D6"/>
    <w:rsid w:val="00B8091A"/>
    <w:rsid w:val="00B8102E"/>
    <w:rsid w:val="00B82D90"/>
    <w:rsid w:val="00B83257"/>
    <w:rsid w:val="00B8475A"/>
    <w:rsid w:val="00B85199"/>
    <w:rsid w:val="00B87C37"/>
    <w:rsid w:val="00B903E3"/>
    <w:rsid w:val="00B90D14"/>
    <w:rsid w:val="00B911C2"/>
    <w:rsid w:val="00B9137C"/>
    <w:rsid w:val="00B91DF8"/>
    <w:rsid w:val="00B92C72"/>
    <w:rsid w:val="00B93396"/>
    <w:rsid w:val="00B93984"/>
    <w:rsid w:val="00B94B20"/>
    <w:rsid w:val="00B95300"/>
    <w:rsid w:val="00B9543E"/>
    <w:rsid w:val="00B9577C"/>
    <w:rsid w:val="00B9594C"/>
    <w:rsid w:val="00B96F03"/>
    <w:rsid w:val="00B9734C"/>
    <w:rsid w:val="00B97924"/>
    <w:rsid w:val="00BA0B05"/>
    <w:rsid w:val="00BA1C6F"/>
    <w:rsid w:val="00BA26EF"/>
    <w:rsid w:val="00BA2C03"/>
    <w:rsid w:val="00BA314C"/>
    <w:rsid w:val="00BA3969"/>
    <w:rsid w:val="00BA4235"/>
    <w:rsid w:val="00BA6C1F"/>
    <w:rsid w:val="00BA7AF1"/>
    <w:rsid w:val="00BA7DBE"/>
    <w:rsid w:val="00BB1E94"/>
    <w:rsid w:val="00BB1F4A"/>
    <w:rsid w:val="00BB24AC"/>
    <w:rsid w:val="00BB29AC"/>
    <w:rsid w:val="00BB51B9"/>
    <w:rsid w:val="00BB57F4"/>
    <w:rsid w:val="00BB64DA"/>
    <w:rsid w:val="00BB7712"/>
    <w:rsid w:val="00BB7A58"/>
    <w:rsid w:val="00BB7CB8"/>
    <w:rsid w:val="00BC039C"/>
    <w:rsid w:val="00BC0456"/>
    <w:rsid w:val="00BC177D"/>
    <w:rsid w:val="00BC1A41"/>
    <w:rsid w:val="00BC2114"/>
    <w:rsid w:val="00BC26B1"/>
    <w:rsid w:val="00BC2908"/>
    <w:rsid w:val="00BC34C2"/>
    <w:rsid w:val="00BC3FC3"/>
    <w:rsid w:val="00BC5224"/>
    <w:rsid w:val="00BC65D3"/>
    <w:rsid w:val="00BC6BAB"/>
    <w:rsid w:val="00BC6FDF"/>
    <w:rsid w:val="00BC7AE4"/>
    <w:rsid w:val="00BC7D35"/>
    <w:rsid w:val="00BC7D79"/>
    <w:rsid w:val="00BD02DD"/>
    <w:rsid w:val="00BD07DC"/>
    <w:rsid w:val="00BD09E2"/>
    <w:rsid w:val="00BD0AC0"/>
    <w:rsid w:val="00BD2E62"/>
    <w:rsid w:val="00BD4484"/>
    <w:rsid w:val="00BD4A4B"/>
    <w:rsid w:val="00BD4C27"/>
    <w:rsid w:val="00BD6907"/>
    <w:rsid w:val="00BD6E92"/>
    <w:rsid w:val="00BD769D"/>
    <w:rsid w:val="00BE0F25"/>
    <w:rsid w:val="00BE15D2"/>
    <w:rsid w:val="00BE23BB"/>
    <w:rsid w:val="00BE274E"/>
    <w:rsid w:val="00BE336C"/>
    <w:rsid w:val="00BE3502"/>
    <w:rsid w:val="00BE3ADC"/>
    <w:rsid w:val="00BE445D"/>
    <w:rsid w:val="00BE4D2C"/>
    <w:rsid w:val="00BE56D9"/>
    <w:rsid w:val="00BE7F6B"/>
    <w:rsid w:val="00BF0382"/>
    <w:rsid w:val="00BF082E"/>
    <w:rsid w:val="00BF0988"/>
    <w:rsid w:val="00BF1B21"/>
    <w:rsid w:val="00BF1E0A"/>
    <w:rsid w:val="00BF27E9"/>
    <w:rsid w:val="00BF2A73"/>
    <w:rsid w:val="00BF2B5B"/>
    <w:rsid w:val="00BF38FD"/>
    <w:rsid w:val="00BF3947"/>
    <w:rsid w:val="00BF4690"/>
    <w:rsid w:val="00BF6F76"/>
    <w:rsid w:val="00BF7155"/>
    <w:rsid w:val="00C02978"/>
    <w:rsid w:val="00C034A9"/>
    <w:rsid w:val="00C03859"/>
    <w:rsid w:val="00C03F51"/>
    <w:rsid w:val="00C05E01"/>
    <w:rsid w:val="00C05E42"/>
    <w:rsid w:val="00C063F1"/>
    <w:rsid w:val="00C0679C"/>
    <w:rsid w:val="00C078BD"/>
    <w:rsid w:val="00C102CC"/>
    <w:rsid w:val="00C11A47"/>
    <w:rsid w:val="00C12098"/>
    <w:rsid w:val="00C13805"/>
    <w:rsid w:val="00C14397"/>
    <w:rsid w:val="00C15CA6"/>
    <w:rsid w:val="00C16807"/>
    <w:rsid w:val="00C16F89"/>
    <w:rsid w:val="00C17529"/>
    <w:rsid w:val="00C2025F"/>
    <w:rsid w:val="00C20B87"/>
    <w:rsid w:val="00C2167D"/>
    <w:rsid w:val="00C21BCC"/>
    <w:rsid w:val="00C22BFA"/>
    <w:rsid w:val="00C2403A"/>
    <w:rsid w:val="00C24CC2"/>
    <w:rsid w:val="00C266D3"/>
    <w:rsid w:val="00C266DA"/>
    <w:rsid w:val="00C26FE9"/>
    <w:rsid w:val="00C27C74"/>
    <w:rsid w:val="00C27D03"/>
    <w:rsid w:val="00C30313"/>
    <w:rsid w:val="00C304DA"/>
    <w:rsid w:val="00C31095"/>
    <w:rsid w:val="00C31277"/>
    <w:rsid w:val="00C32321"/>
    <w:rsid w:val="00C3296F"/>
    <w:rsid w:val="00C33173"/>
    <w:rsid w:val="00C349F0"/>
    <w:rsid w:val="00C34A1E"/>
    <w:rsid w:val="00C3720B"/>
    <w:rsid w:val="00C406CF"/>
    <w:rsid w:val="00C41423"/>
    <w:rsid w:val="00C41C56"/>
    <w:rsid w:val="00C4334F"/>
    <w:rsid w:val="00C4363D"/>
    <w:rsid w:val="00C438CA"/>
    <w:rsid w:val="00C4434A"/>
    <w:rsid w:val="00C44906"/>
    <w:rsid w:val="00C44974"/>
    <w:rsid w:val="00C44E9E"/>
    <w:rsid w:val="00C4570B"/>
    <w:rsid w:val="00C46098"/>
    <w:rsid w:val="00C46439"/>
    <w:rsid w:val="00C465CE"/>
    <w:rsid w:val="00C46B32"/>
    <w:rsid w:val="00C47A26"/>
    <w:rsid w:val="00C50E1F"/>
    <w:rsid w:val="00C516EC"/>
    <w:rsid w:val="00C52ABF"/>
    <w:rsid w:val="00C539F0"/>
    <w:rsid w:val="00C53DC9"/>
    <w:rsid w:val="00C5436E"/>
    <w:rsid w:val="00C54702"/>
    <w:rsid w:val="00C571A9"/>
    <w:rsid w:val="00C615A7"/>
    <w:rsid w:val="00C616BF"/>
    <w:rsid w:val="00C61AD1"/>
    <w:rsid w:val="00C622E5"/>
    <w:rsid w:val="00C62AE6"/>
    <w:rsid w:val="00C62C5D"/>
    <w:rsid w:val="00C6342A"/>
    <w:rsid w:val="00C646CF"/>
    <w:rsid w:val="00C6481A"/>
    <w:rsid w:val="00C64873"/>
    <w:rsid w:val="00C64C34"/>
    <w:rsid w:val="00C64EE6"/>
    <w:rsid w:val="00C65959"/>
    <w:rsid w:val="00C65A0A"/>
    <w:rsid w:val="00C65ED1"/>
    <w:rsid w:val="00C66628"/>
    <w:rsid w:val="00C67701"/>
    <w:rsid w:val="00C711C5"/>
    <w:rsid w:val="00C715DB"/>
    <w:rsid w:val="00C7189F"/>
    <w:rsid w:val="00C73C13"/>
    <w:rsid w:val="00C7422F"/>
    <w:rsid w:val="00C74528"/>
    <w:rsid w:val="00C74812"/>
    <w:rsid w:val="00C751BF"/>
    <w:rsid w:val="00C762F7"/>
    <w:rsid w:val="00C7651A"/>
    <w:rsid w:val="00C77280"/>
    <w:rsid w:val="00C77C83"/>
    <w:rsid w:val="00C812AA"/>
    <w:rsid w:val="00C813A0"/>
    <w:rsid w:val="00C817E6"/>
    <w:rsid w:val="00C81AD1"/>
    <w:rsid w:val="00C81E9F"/>
    <w:rsid w:val="00C82372"/>
    <w:rsid w:val="00C82B76"/>
    <w:rsid w:val="00C82CB6"/>
    <w:rsid w:val="00C83111"/>
    <w:rsid w:val="00C84265"/>
    <w:rsid w:val="00C84ED5"/>
    <w:rsid w:val="00C8609E"/>
    <w:rsid w:val="00C8623F"/>
    <w:rsid w:val="00C87684"/>
    <w:rsid w:val="00C87E9A"/>
    <w:rsid w:val="00C901DB"/>
    <w:rsid w:val="00C9070B"/>
    <w:rsid w:val="00C92706"/>
    <w:rsid w:val="00C929EE"/>
    <w:rsid w:val="00C93B18"/>
    <w:rsid w:val="00C94791"/>
    <w:rsid w:val="00C94CBD"/>
    <w:rsid w:val="00C95057"/>
    <w:rsid w:val="00C96465"/>
    <w:rsid w:val="00C96D0A"/>
    <w:rsid w:val="00C96E97"/>
    <w:rsid w:val="00C974FE"/>
    <w:rsid w:val="00CA001B"/>
    <w:rsid w:val="00CA01AD"/>
    <w:rsid w:val="00CA061E"/>
    <w:rsid w:val="00CA1267"/>
    <w:rsid w:val="00CA2625"/>
    <w:rsid w:val="00CA3024"/>
    <w:rsid w:val="00CA36EF"/>
    <w:rsid w:val="00CA3C73"/>
    <w:rsid w:val="00CA3E46"/>
    <w:rsid w:val="00CA5475"/>
    <w:rsid w:val="00CA5E21"/>
    <w:rsid w:val="00CA6FE3"/>
    <w:rsid w:val="00CA7BFF"/>
    <w:rsid w:val="00CB0164"/>
    <w:rsid w:val="00CB19DA"/>
    <w:rsid w:val="00CB1BF5"/>
    <w:rsid w:val="00CB2FA5"/>
    <w:rsid w:val="00CB44F6"/>
    <w:rsid w:val="00CB519E"/>
    <w:rsid w:val="00CB51BB"/>
    <w:rsid w:val="00CB51FF"/>
    <w:rsid w:val="00CB6E0C"/>
    <w:rsid w:val="00CC023C"/>
    <w:rsid w:val="00CC0334"/>
    <w:rsid w:val="00CC1692"/>
    <w:rsid w:val="00CC1B8B"/>
    <w:rsid w:val="00CC1DF5"/>
    <w:rsid w:val="00CC1EAD"/>
    <w:rsid w:val="00CC30C2"/>
    <w:rsid w:val="00CC311A"/>
    <w:rsid w:val="00CC3A59"/>
    <w:rsid w:val="00CC3C03"/>
    <w:rsid w:val="00CC4253"/>
    <w:rsid w:val="00CC4804"/>
    <w:rsid w:val="00CC4E34"/>
    <w:rsid w:val="00CC5133"/>
    <w:rsid w:val="00CC54EB"/>
    <w:rsid w:val="00CC5F27"/>
    <w:rsid w:val="00CC63FE"/>
    <w:rsid w:val="00CC7437"/>
    <w:rsid w:val="00CD06C1"/>
    <w:rsid w:val="00CD20E1"/>
    <w:rsid w:val="00CD2F74"/>
    <w:rsid w:val="00CD3BBB"/>
    <w:rsid w:val="00CD3C54"/>
    <w:rsid w:val="00CD5A98"/>
    <w:rsid w:val="00CD6EF5"/>
    <w:rsid w:val="00CD7493"/>
    <w:rsid w:val="00CD76C0"/>
    <w:rsid w:val="00CD7F31"/>
    <w:rsid w:val="00CE1BC1"/>
    <w:rsid w:val="00CE21A4"/>
    <w:rsid w:val="00CE3521"/>
    <w:rsid w:val="00CE3A2A"/>
    <w:rsid w:val="00CE3B1C"/>
    <w:rsid w:val="00CE5723"/>
    <w:rsid w:val="00CF00AD"/>
    <w:rsid w:val="00CF06F9"/>
    <w:rsid w:val="00CF071D"/>
    <w:rsid w:val="00CF1107"/>
    <w:rsid w:val="00CF1168"/>
    <w:rsid w:val="00CF1C88"/>
    <w:rsid w:val="00CF2D83"/>
    <w:rsid w:val="00CF3034"/>
    <w:rsid w:val="00CF3FC7"/>
    <w:rsid w:val="00CF5493"/>
    <w:rsid w:val="00CF5603"/>
    <w:rsid w:val="00CF634F"/>
    <w:rsid w:val="00CF67D8"/>
    <w:rsid w:val="00CF694E"/>
    <w:rsid w:val="00CF6BF4"/>
    <w:rsid w:val="00CF7DE9"/>
    <w:rsid w:val="00D00547"/>
    <w:rsid w:val="00D01398"/>
    <w:rsid w:val="00D0189D"/>
    <w:rsid w:val="00D02427"/>
    <w:rsid w:val="00D02E46"/>
    <w:rsid w:val="00D03781"/>
    <w:rsid w:val="00D0403A"/>
    <w:rsid w:val="00D04528"/>
    <w:rsid w:val="00D050BA"/>
    <w:rsid w:val="00D05E32"/>
    <w:rsid w:val="00D06CBF"/>
    <w:rsid w:val="00D06FC6"/>
    <w:rsid w:val="00D07DAA"/>
    <w:rsid w:val="00D11CE7"/>
    <w:rsid w:val="00D12281"/>
    <w:rsid w:val="00D14D03"/>
    <w:rsid w:val="00D173CE"/>
    <w:rsid w:val="00D176D6"/>
    <w:rsid w:val="00D21F17"/>
    <w:rsid w:val="00D225A9"/>
    <w:rsid w:val="00D234A5"/>
    <w:rsid w:val="00D2772F"/>
    <w:rsid w:val="00D3079F"/>
    <w:rsid w:val="00D30C5E"/>
    <w:rsid w:val="00D3100A"/>
    <w:rsid w:val="00D312EB"/>
    <w:rsid w:val="00D31C89"/>
    <w:rsid w:val="00D3348F"/>
    <w:rsid w:val="00D3413F"/>
    <w:rsid w:val="00D34190"/>
    <w:rsid w:val="00D3483B"/>
    <w:rsid w:val="00D3497A"/>
    <w:rsid w:val="00D35A12"/>
    <w:rsid w:val="00D373B0"/>
    <w:rsid w:val="00D40BB5"/>
    <w:rsid w:val="00D40EFC"/>
    <w:rsid w:val="00D4142C"/>
    <w:rsid w:val="00D42178"/>
    <w:rsid w:val="00D4229B"/>
    <w:rsid w:val="00D45C32"/>
    <w:rsid w:val="00D462AD"/>
    <w:rsid w:val="00D46FF7"/>
    <w:rsid w:val="00D47431"/>
    <w:rsid w:val="00D47A8B"/>
    <w:rsid w:val="00D47AD5"/>
    <w:rsid w:val="00D47F91"/>
    <w:rsid w:val="00D518C3"/>
    <w:rsid w:val="00D51C09"/>
    <w:rsid w:val="00D51D3D"/>
    <w:rsid w:val="00D52CEB"/>
    <w:rsid w:val="00D52D3B"/>
    <w:rsid w:val="00D532C6"/>
    <w:rsid w:val="00D5426B"/>
    <w:rsid w:val="00D55010"/>
    <w:rsid w:val="00D5599A"/>
    <w:rsid w:val="00D55B21"/>
    <w:rsid w:val="00D563A6"/>
    <w:rsid w:val="00D569AD"/>
    <w:rsid w:val="00D56C76"/>
    <w:rsid w:val="00D60074"/>
    <w:rsid w:val="00D6041B"/>
    <w:rsid w:val="00D605E5"/>
    <w:rsid w:val="00D61E52"/>
    <w:rsid w:val="00D61F73"/>
    <w:rsid w:val="00D6268B"/>
    <w:rsid w:val="00D62A68"/>
    <w:rsid w:val="00D62A8B"/>
    <w:rsid w:val="00D630A0"/>
    <w:rsid w:val="00D65697"/>
    <w:rsid w:val="00D66036"/>
    <w:rsid w:val="00D66D0D"/>
    <w:rsid w:val="00D67140"/>
    <w:rsid w:val="00D7076D"/>
    <w:rsid w:val="00D71595"/>
    <w:rsid w:val="00D71B33"/>
    <w:rsid w:val="00D731B0"/>
    <w:rsid w:val="00D73F84"/>
    <w:rsid w:val="00D740F4"/>
    <w:rsid w:val="00D74189"/>
    <w:rsid w:val="00D74329"/>
    <w:rsid w:val="00D7465C"/>
    <w:rsid w:val="00D75419"/>
    <w:rsid w:val="00D758A0"/>
    <w:rsid w:val="00D77596"/>
    <w:rsid w:val="00D802FD"/>
    <w:rsid w:val="00D814B5"/>
    <w:rsid w:val="00D82EE0"/>
    <w:rsid w:val="00D8402A"/>
    <w:rsid w:val="00D84962"/>
    <w:rsid w:val="00D84FCC"/>
    <w:rsid w:val="00D869C5"/>
    <w:rsid w:val="00D86A4E"/>
    <w:rsid w:val="00D87EE8"/>
    <w:rsid w:val="00D91E3F"/>
    <w:rsid w:val="00D92BE8"/>
    <w:rsid w:val="00D932E1"/>
    <w:rsid w:val="00D936BF"/>
    <w:rsid w:val="00D937A6"/>
    <w:rsid w:val="00D93FD8"/>
    <w:rsid w:val="00D94A5A"/>
    <w:rsid w:val="00D94C3C"/>
    <w:rsid w:val="00D95258"/>
    <w:rsid w:val="00D956C6"/>
    <w:rsid w:val="00D9626A"/>
    <w:rsid w:val="00DA0427"/>
    <w:rsid w:val="00DA05B7"/>
    <w:rsid w:val="00DA0CB6"/>
    <w:rsid w:val="00DA1B0F"/>
    <w:rsid w:val="00DA1E39"/>
    <w:rsid w:val="00DA2171"/>
    <w:rsid w:val="00DA266F"/>
    <w:rsid w:val="00DA2928"/>
    <w:rsid w:val="00DA3AE2"/>
    <w:rsid w:val="00DA3B33"/>
    <w:rsid w:val="00DA42A3"/>
    <w:rsid w:val="00DA5AF9"/>
    <w:rsid w:val="00DA5B4D"/>
    <w:rsid w:val="00DA66D3"/>
    <w:rsid w:val="00DA702D"/>
    <w:rsid w:val="00DA7075"/>
    <w:rsid w:val="00DA74A2"/>
    <w:rsid w:val="00DA7D37"/>
    <w:rsid w:val="00DB010E"/>
    <w:rsid w:val="00DB0BBC"/>
    <w:rsid w:val="00DB191E"/>
    <w:rsid w:val="00DB1E05"/>
    <w:rsid w:val="00DB2029"/>
    <w:rsid w:val="00DB5927"/>
    <w:rsid w:val="00DB6664"/>
    <w:rsid w:val="00DB73FB"/>
    <w:rsid w:val="00DB7CC5"/>
    <w:rsid w:val="00DB7CD4"/>
    <w:rsid w:val="00DC0A66"/>
    <w:rsid w:val="00DC0DBE"/>
    <w:rsid w:val="00DC2523"/>
    <w:rsid w:val="00DC3792"/>
    <w:rsid w:val="00DC429D"/>
    <w:rsid w:val="00DC497E"/>
    <w:rsid w:val="00DC49F0"/>
    <w:rsid w:val="00DC6743"/>
    <w:rsid w:val="00DC6E17"/>
    <w:rsid w:val="00DC6F8F"/>
    <w:rsid w:val="00DC7C69"/>
    <w:rsid w:val="00DD0C56"/>
    <w:rsid w:val="00DD26B7"/>
    <w:rsid w:val="00DD2785"/>
    <w:rsid w:val="00DD2EA7"/>
    <w:rsid w:val="00DD35D4"/>
    <w:rsid w:val="00DD3C0D"/>
    <w:rsid w:val="00DD4449"/>
    <w:rsid w:val="00DD4DCA"/>
    <w:rsid w:val="00DD5B02"/>
    <w:rsid w:val="00DD5CCB"/>
    <w:rsid w:val="00DD6003"/>
    <w:rsid w:val="00DD635E"/>
    <w:rsid w:val="00DD7B1D"/>
    <w:rsid w:val="00DE1355"/>
    <w:rsid w:val="00DE14D6"/>
    <w:rsid w:val="00DE1A4C"/>
    <w:rsid w:val="00DE285A"/>
    <w:rsid w:val="00DE2A03"/>
    <w:rsid w:val="00DE2F3F"/>
    <w:rsid w:val="00DE3645"/>
    <w:rsid w:val="00DE3973"/>
    <w:rsid w:val="00DE4ADB"/>
    <w:rsid w:val="00DE5417"/>
    <w:rsid w:val="00DE5630"/>
    <w:rsid w:val="00DE65F6"/>
    <w:rsid w:val="00DE7227"/>
    <w:rsid w:val="00DE76FC"/>
    <w:rsid w:val="00DF2891"/>
    <w:rsid w:val="00DF355A"/>
    <w:rsid w:val="00DF3789"/>
    <w:rsid w:val="00DF3B2A"/>
    <w:rsid w:val="00DF3F22"/>
    <w:rsid w:val="00DF4BAB"/>
    <w:rsid w:val="00DF5D14"/>
    <w:rsid w:val="00DF608E"/>
    <w:rsid w:val="00DF657D"/>
    <w:rsid w:val="00DF682A"/>
    <w:rsid w:val="00DF6CC5"/>
    <w:rsid w:val="00DF6DB2"/>
    <w:rsid w:val="00DF6FF1"/>
    <w:rsid w:val="00DF71EB"/>
    <w:rsid w:val="00DF76E0"/>
    <w:rsid w:val="00DF7763"/>
    <w:rsid w:val="00DF7F7A"/>
    <w:rsid w:val="00E007FD"/>
    <w:rsid w:val="00E00B50"/>
    <w:rsid w:val="00E015A9"/>
    <w:rsid w:val="00E01B18"/>
    <w:rsid w:val="00E01B2E"/>
    <w:rsid w:val="00E01B45"/>
    <w:rsid w:val="00E02883"/>
    <w:rsid w:val="00E02AEE"/>
    <w:rsid w:val="00E02E89"/>
    <w:rsid w:val="00E03A97"/>
    <w:rsid w:val="00E04029"/>
    <w:rsid w:val="00E05379"/>
    <w:rsid w:val="00E05D98"/>
    <w:rsid w:val="00E0744B"/>
    <w:rsid w:val="00E07667"/>
    <w:rsid w:val="00E07755"/>
    <w:rsid w:val="00E07D23"/>
    <w:rsid w:val="00E07E2E"/>
    <w:rsid w:val="00E07E8B"/>
    <w:rsid w:val="00E10861"/>
    <w:rsid w:val="00E120BC"/>
    <w:rsid w:val="00E1258C"/>
    <w:rsid w:val="00E1376C"/>
    <w:rsid w:val="00E137AA"/>
    <w:rsid w:val="00E1440A"/>
    <w:rsid w:val="00E15635"/>
    <w:rsid w:val="00E15E45"/>
    <w:rsid w:val="00E16BEE"/>
    <w:rsid w:val="00E2103E"/>
    <w:rsid w:val="00E212B9"/>
    <w:rsid w:val="00E21B02"/>
    <w:rsid w:val="00E23869"/>
    <w:rsid w:val="00E24B0F"/>
    <w:rsid w:val="00E25B42"/>
    <w:rsid w:val="00E26156"/>
    <w:rsid w:val="00E27323"/>
    <w:rsid w:val="00E27FA3"/>
    <w:rsid w:val="00E302DF"/>
    <w:rsid w:val="00E304C4"/>
    <w:rsid w:val="00E3099D"/>
    <w:rsid w:val="00E32D2D"/>
    <w:rsid w:val="00E333FB"/>
    <w:rsid w:val="00E3345C"/>
    <w:rsid w:val="00E35515"/>
    <w:rsid w:val="00E361BF"/>
    <w:rsid w:val="00E36F7B"/>
    <w:rsid w:val="00E378FB"/>
    <w:rsid w:val="00E37C51"/>
    <w:rsid w:val="00E40778"/>
    <w:rsid w:val="00E40ED4"/>
    <w:rsid w:val="00E40F77"/>
    <w:rsid w:val="00E410E2"/>
    <w:rsid w:val="00E41D9C"/>
    <w:rsid w:val="00E41FE9"/>
    <w:rsid w:val="00E427D9"/>
    <w:rsid w:val="00E4324A"/>
    <w:rsid w:val="00E43FA3"/>
    <w:rsid w:val="00E44314"/>
    <w:rsid w:val="00E444B4"/>
    <w:rsid w:val="00E4501A"/>
    <w:rsid w:val="00E4586E"/>
    <w:rsid w:val="00E46187"/>
    <w:rsid w:val="00E46BFA"/>
    <w:rsid w:val="00E46DA2"/>
    <w:rsid w:val="00E47631"/>
    <w:rsid w:val="00E477BE"/>
    <w:rsid w:val="00E47B62"/>
    <w:rsid w:val="00E513F5"/>
    <w:rsid w:val="00E51517"/>
    <w:rsid w:val="00E51A78"/>
    <w:rsid w:val="00E51AFF"/>
    <w:rsid w:val="00E51F74"/>
    <w:rsid w:val="00E53A0B"/>
    <w:rsid w:val="00E54533"/>
    <w:rsid w:val="00E55868"/>
    <w:rsid w:val="00E55FE6"/>
    <w:rsid w:val="00E57D68"/>
    <w:rsid w:val="00E60C14"/>
    <w:rsid w:val="00E61747"/>
    <w:rsid w:val="00E61815"/>
    <w:rsid w:val="00E620C7"/>
    <w:rsid w:val="00E64538"/>
    <w:rsid w:val="00E647B5"/>
    <w:rsid w:val="00E653B8"/>
    <w:rsid w:val="00E65D86"/>
    <w:rsid w:val="00E66421"/>
    <w:rsid w:val="00E66967"/>
    <w:rsid w:val="00E67987"/>
    <w:rsid w:val="00E67B86"/>
    <w:rsid w:val="00E67E1C"/>
    <w:rsid w:val="00E70A51"/>
    <w:rsid w:val="00E70E2A"/>
    <w:rsid w:val="00E72C1A"/>
    <w:rsid w:val="00E7435E"/>
    <w:rsid w:val="00E74BBE"/>
    <w:rsid w:val="00E75675"/>
    <w:rsid w:val="00E763CD"/>
    <w:rsid w:val="00E76A0F"/>
    <w:rsid w:val="00E76F36"/>
    <w:rsid w:val="00E7711B"/>
    <w:rsid w:val="00E77D6D"/>
    <w:rsid w:val="00E8114F"/>
    <w:rsid w:val="00E82B64"/>
    <w:rsid w:val="00E83E08"/>
    <w:rsid w:val="00E850A3"/>
    <w:rsid w:val="00E8528B"/>
    <w:rsid w:val="00E86084"/>
    <w:rsid w:val="00E86A15"/>
    <w:rsid w:val="00E86E88"/>
    <w:rsid w:val="00E87034"/>
    <w:rsid w:val="00E8766C"/>
    <w:rsid w:val="00E878C1"/>
    <w:rsid w:val="00E904B3"/>
    <w:rsid w:val="00E90733"/>
    <w:rsid w:val="00E90DC2"/>
    <w:rsid w:val="00E90F26"/>
    <w:rsid w:val="00E91D52"/>
    <w:rsid w:val="00E931A2"/>
    <w:rsid w:val="00E932F5"/>
    <w:rsid w:val="00E93D9A"/>
    <w:rsid w:val="00E94D70"/>
    <w:rsid w:val="00E95EEF"/>
    <w:rsid w:val="00E96340"/>
    <w:rsid w:val="00EA0157"/>
    <w:rsid w:val="00EA0C3E"/>
    <w:rsid w:val="00EA0DE1"/>
    <w:rsid w:val="00EA1141"/>
    <w:rsid w:val="00EA19AF"/>
    <w:rsid w:val="00EA1BF3"/>
    <w:rsid w:val="00EA38D5"/>
    <w:rsid w:val="00EA4363"/>
    <w:rsid w:val="00EA5409"/>
    <w:rsid w:val="00EA5445"/>
    <w:rsid w:val="00EA5C37"/>
    <w:rsid w:val="00EA5F10"/>
    <w:rsid w:val="00EA5F30"/>
    <w:rsid w:val="00EA6F59"/>
    <w:rsid w:val="00EA789A"/>
    <w:rsid w:val="00EA7B94"/>
    <w:rsid w:val="00EB0AC8"/>
    <w:rsid w:val="00EB0F10"/>
    <w:rsid w:val="00EB13BC"/>
    <w:rsid w:val="00EB219C"/>
    <w:rsid w:val="00EB2C13"/>
    <w:rsid w:val="00EB2C25"/>
    <w:rsid w:val="00EB321E"/>
    <w:rsid w:val="00EB6374"/>
    <w:rsid w:val="00EB64FC"/>
    <w:rsid w:val="00EB6F39"/>
    <w:rsid w:val="00EB7B3E"/>
    <w:rsid w:val="00EB7C5B"/>
    <w:rsid w:val="00EC0FC7"/>
    <w:rsid w:val="00EC3466"/>
    <w:rsid w:val="00EC37C6"/>
    <w:rsid w:val="00EC3CEA"/>
    <w:rsid w:val="00EC5360"/>
    <w:rsid w:val="00EC6F70"/>
    <w:rsid w:val="00EC744B"/>
    <w:rsid w:val="00EC778D"/>
    <w:rsid w:val="00EC7B5A"/>
    <w:rsid w:val="00EC7CEC"/>
    <w:rsid w:val="00ED03B7"/>
    <w:rsid w:val="00ED090C"/>
    <w:rsid w:val="00ED1573"/>
    <w:rsid w:val="00ED1966"/>
    <w:rsid w:val="00ED3498"/>
    <w:rsid w:val="00ED3C02"/>
    <w:rsid w:val="00ED419B"/>
    <w:rsid w:val="00ED43BD"/>
    <w:rsid w:val="00ED4DA5"/>
    <w:rsid w:val="00ED5501"/>
    <w:rsid w:val="00ED5AF3"/>
    <w:rsid w:val="00ED5F06"/>
    <w:rsid w:val="00ED624A"/>
    <w:rsid w:val="00ED6E55"/>
    <w:rsid w:val="00ED7419"/>
    <w:rsid w:val="00ED76DA"/>
    <w:rsid w:val="00EE050F"/>
    <w:rsid w:val="00EE081A"/>
    <w:rsid w:val="00EE0F44"/>
    <w:rsid w:val="00EE1131"/>
    <w:rsid w:val="00EE1EB5"/>
    <w:rsid w:val="00EE243B"/>
    <w:rsid w:val="00EE2B28"/>
    <w:rsid w:val="00EE3398"/>
    <w:rsid w:val="00EE60DB"/>
    <w:rsid w:val="00EE7E38"/>
    <w:rsid w:val="00EE7EEA"/>
    <w:rsid w:val="00EF1D7E"/>
    <w:rsid w:val="00EF34B4"/>
    <w:rsid w:val="00EF39FC"/>
    <w:rsid w:val="00EF4CEE"/>
    <w:rsid w:val="00EF5638"/>
    <w:rsid w:val="00EF59A3"/>
    <w:rsid w:val="00EF5EA7"/>
    <w:rsid w:val="00EF6801"/>
    <w:rsid w:val="00EF6AA5"/>
    <w:rsid w:val="00EF7F09"/>
    <w:rsid w:val="00F016CA"/>
    <w:rsid w:val="00F016F3"/>
    <w:rsid w:val="00F01E4F"/>
    <w:rsid w:val="00F02189"/>
    <w:rsid w:val="00F0281E"/>
    <w:rsid w:val="00F04143"/>
    <w:rsid w:val="00F0482C"/>
    <w:rsid w:val="00F0740D"/>
    <w:rsid w:val="00F075C0"/>
    <w:rsid w:val="00F07750"/>
    <w:rsid w:val="00F07780"/>
    <w:rsid w:val="00F106C0"/>
    <w:rsid w:val="00F10988"/>
    <w:rsid w:val="00F12149"/>
    <w:rsid w:val="00F126D9"/>
    <w:rsid w:val="00F1300F"/>
    <w:rsid w:val="00F13587"/>
    <w:rsid w:val="00F156DE"/>
    <w:rsid w:val="00F16387"/>
    <w:rsid w:val="00F17B1E"/>
    <w:rsid w:val="00F17D47"/>
    <w:rsid w:val="00F203C7"/>
    <w:rsid w:val="00F210E0"/>
    <w:rsid w:val="00F215E0"/>
    <w:rsid w:val="00F21646"/>
    <w:rsid w:val="00F21917"/>
    <w:rsid w:val="00F23EB3"/>
    <w:rsid w:val="00F24203"/>
    <w:rsid w:val="00F24837"/>
    <w:rsid w:val="00F27A4B"/>
    <w:rsid w:val="00F27BB1"/>
    <w:rsid w:val="00F31DD6"/>
    <w:rsid w:val="00F32B0E"/>
    <w:rsid w:val="00F33DC4"/>
    <w:rsid w:val="00F356DB"/>
    <w:rsid w:val="00F35946"/>
    <w:rsid w:val="00F359C0"/>
    <w:rsid w:val="00F37DBE"/>
    <w:rsid w:val="00F401F9"/>
    <w:rsid w:val="00F4036B"/>
    <w:rsid w:val="00F423EB"/>
    <w:rsid w:val="00F42DEC"/>
    <w:rsid w:val="00F430AC"/>
    <w:rsid w:val="00F438E3"/>
    <w:rsid w:val="00F462D5"/>
    <w:rsid w:val="00F46975"/>
    <w:rsid w:val="00F477B9"/>
    <w:rsid w:val="00F50656"/>
    <w:rsid w:val="00F50663"/>
    <w:rsid w:val="00F506F4"/>
    <w:rsid w:val="00F5098F"/>
    <w:rsid w:val="00F53378"/>
    <w:rsid w:val="00F53604"/>
    <w:rsid w:val="00F549BC"/>
    <w:rsid w:val="00F54A39"/>
    <w:rsid w:val="00F54B2D"/>
    <w:rsid w:val="00F55625"/>
    <w:rsid w:val="00F55741"/>
    <w:rsid w:val="00F55FAE"/>
    <w:rsid w:val="00F56B65"/>
    <w:rsid w:val="00F575F5"/>
    <w:rsid w:val="00F60171"/>
    <w:rsid w:val="00F6086F"/>
    <w:rsid w:val="00F60924"/>
    <w:rsid w:val="00F613FA"/>
    <w:rsid w:val="00F6631F"/>
    <w:rsid w:val="00F709B4"/>
    <w:rsid w:val="00F70E60"/>
    <w:rsid w:val="00F71B37"/>
    <w:rsid w:val="00F72027"/>
    <w:rsid w:val="00F72112"/>
    <w:rsid w:val="00F723D6"/>
    <w:rsid w:val="00F724AB"/>
    <w:rsid w:val="00F738BF"/>
    <w:rsid w:val="00F739CF"/>
    <w:rsid w:val="00F75E3A"/>
    <w:rsid w:val="00F77DF0"/>
    <w:rsid w:val="00F77E87"/>
    <w:rsid w:val="00F806A9"/>
    <w:rsid w:val="00F80F0F"/>
    <w:rsid w:val="00F81620"/>
    <w:rsid w:val="00F81EA3"/>
    <w:rsid w:val="00F8217F"/>
    <w:rsid w:val="00F83113"/>
    <w:rsid w:val="00F83C22"/>
    <w:rsid w:val="00F84521"/>
    <w:rsid w:val="00F848CF"/>
    <w:rsid w:val="00F84EA8"/>
    <w:rsid w:val="00F85067"/>
    <w:rsid w:val="00F8510F"/>
    <w:rsid w:val="00F8551A"/>
    <w:rsid w:val="00F86B07"/>
    <w:rsid w:val="00F87451"/>
    <w:rsid w:val="00F906AB"/>
    <w:rsid w:val="00F91766"/>
    <w:rsid w:val="00F91A6E"/>
    <w:rsid w:val="00F9678F"/>
    <w:rsid w:val="00F96B7D"/>
    <w:rsid w:val="00F97388"/>
    <w:rsid w:val="00F97412"/>
    <w:rsid w:val="00FA0537"/>
    <w:rsid w:val="00FA0D1E"/>
    <w:rsid w:val="00FA1739"/>
    <w:rsid w:val="00FA1A05"/>
    <w:rsid w:val="00FA25EA"/>
    <w:rsid w:val="00FA2AC8"/>
    <w:rsid w:val="00FA2ECA"/>
    <w:rsid w:val="00FA2FA8"/>
    <w:rsid w:val="00FA4875"/>
    <w:rsid w:val="00FA65E5"/>
    <w:rsid w:val="00FA6A63"/>
    <w:rsid w:val="00FB0F17"/>
    <w:rsid w:val="00FB1348"/>
    <w:rsid w:val="00FB177B"/>
    <w:rsid w:val="00FB1EA0"/>
    <w:rsid w:val="00FB2144"/>
    <w:rsid w:val="00FB2DA4"/>
    <w:rsid w:val="00FB45C2"/>
    <w:rsid w:val="00FB6B51"/>
    <w:rsid w:val="00FB7052"/>
    <w:rsid w:val="00FC08E5"/>
    <w:rsid w:val="00FC2094"/>
    <w:rsid w:val="00FC2786"/>
    <w:rsid w:val="00FC36CB"/>
    <w:rsid w:val="00FC3779"/>
    <w:rsid w:val="00FC400D"/>
    <w:rsid w:val="00FC58AA"/>
    <w:rsid w:val="00FC789A"/>
    <w:rsid w:val="00FC7979"/>
    <w:rsid w:val="00FC7CE2"/>
    <w:rsid w:val="00FD0815"/>
    <w:rsid w:val="00FD1134"/>
    <w:rsid w:val="00FD1489"/>
    <w:rsid w:val="00FD15A5"/>
    <w:rsid w:val="00FD2169"/>
    <w:rsid w:val="00FD24D9"/>
    <w:rsid w:val="00FD2860"/>
    <w:rsid w:val="00FD2B4A"/>
    <w:rsid w:val="00FD43CA"/>
    <w:rsid w:val="00FD5879"/>
    <w:rsid w:val="00FD5ED5"/>
    <w:rsid w:val="00FD7C6C"/>
    <w:rsid w:val="00FE033E"/>
    <w:rsid w:val="00FE13C6"/>
    <w:rsid w:val="00FE23C6"/>
    <w:rsid w:val="00FE2E5D"/>
    <w:rsid w:val="00FE498A"/>
    <w:rsid w:val="00FE54A8"/>
    <w:rsid w:val="00FE6741"/>
    <w:rsid w:val="00FE6B1A"/>
    <w:rsid w:val="00FE6BC8"/>
    <w:rsid w:val="00FE7073"/>
    <w:rsid w:val="00FF06F9"/>
    <w:rsid w:val="00FF072F"/>
    <w:rsid w:val="00FF0FB4"/>
    <w:rsid w:val="00FF12B9"/>
    <w:rsid w:val="00FF18B0"/>
    <w:rsid w:val="00FF1A88"/>
    <w:rsid w:val="00FF2B2A"/>
    <w:rsid w:val="00FF2B97"/>
    <w:rsid w:val="00FF4BB6"/>
    <w:rsid w:val="00FF4E9F"/>
    <w:rsid w:val="00FF4EE6"/>
    <w:rsid w:val="00FF683E"/>
    <w:rsid w:val="0198569C"/>
    <w:rsid w:val="019F51E5"/>
    <w:rsid w:val="01A77CA2"/>
    <w:rsid w:val="01C97D90"/>
    <w:rsid w:val="01EE2233"/>
    <w:rsid w:val="02370032"/>
    <w:rsid w:val="023855D8"/>
    <w:rsid w:val="02DB608D"/>
    <w:rsid w:val="03105E9A"/>
    <w:rsid w:val="0382186E"/>
    <w:rsid w:val="03A01483"/>
    <w:rsid w:val="03B67C76"/>
    <w:rsid w:val="040D1E70"/>
    <w:rsid w:val="04611584"/>
    <w:rsid w:val="0468560A"/>
    <w:rsid w:val="04717FC7"/>
    <w:rsid w:val="047C4C14"/>
    <w:rsid w:val="04856793"/>
    <w:rsid w:val="04A113A5"/>
    <w:rsid w:val="050D76F3"/>
    <w:rsid w:val="054C3958"/>
    <w:rsid w:val="05551886"/>
    <w:rsid w:val="05671C39"/>
    <w:rsid w:val="05BA574D"/>
    <w:rsid w:val="05BF7FAC"/>
    <w:rsid w:val="05F67880"/>
    <w:rsid w:val="05F8593C"/>
    <w:rsid w:val="06475819"/>
    <w:rsid w:val="06B37FBE"/>
    <w:rsid w:val="06D95094"/>
    <w:rsid w:val="06E22BD9"/>
    <w:rsid w:val="06E32567"/>
    <w:rsid w:val="0744506D"/>
    <w:rsid w:val="074C0E53"/>
    <w:rsid w:val="074D2DE5"/>
    <w:rsid w:val="07727FC2"/>
    <w:rsid w:val="07967B0A"/>
    <w:rsid w:val="07BF4B46"/>
    <w:rsid w:val="080F13F6"/>
    <w:rsid w:val="08B84CBC"/>
    <w:rsid w:val="08C21DEA"/>
    <w:rsid w:val="091478EF"/>
    <w:rsid w:val="09207FBB"/>
    <w:rsid w:val="09223CD6"/>
    <w:rsid w:val="0934265E"/>
    <w:rsid w:val="098B2CC4"/>
    <w:rsid w:val="09B40137"/>
    <w:rsid w:val="09C40713"/>
    <w:rsid w:val="09C56DB7"/>
    <w:rsid w:val="09D91BF4"/>
    <w:rsid w:val="09E06F1A"/>
    <w:rsid w:val="09F90622"/>
    <w:rsid w:val="0A2873F8"/>
    <w:rsid w:val="0A2F27BA"/>
    <w:rsid w:val="0A3318C7"/>
    <w:rsid w:val="0A4F3BAF"/>
    <w:rsid w:val="0A817A2A"/>
    <w:rsid w:val="0A9C5549"/>
    <w:rsid w:val="0AC220F4"/>
    <w:rsid w:val="0B020D62"/>
    <w:rsid w:val="0B1D5C65"/>
    <w:rsid w:val="0B763E01"/>
    <w:rsid w:val="0BE114CF"/>
    <w:rsid w:val="0C1131D8"/>
    <w:rsid w:val="0C1B7B77"/>
    <w:rsid w:val="0C1E34E1"/>
    <w:rsid w:val="0D05675C"/>
    <w:rsid w:val="0D0608AB"/>
    <w:rsid w:val="0D083FB4"/>
    <w:rsid w:val="0D1F25C2"/>
    <w:rsid w:val="0D363097"/>
    <w:rsid w:val="0D4039CF"/>
    <w:rsid w:val="0D921D8F"/>
    <w:rsid w:val="0E954E7E"/>
    <w:rsid w:val="0EA844B9"/>
    <w:rsid w:val="0EF07295"/>
    <w:rsid w:val="0EF10C13"/>
    <w:rsid w:val="0EF64483"/>
    <w:rsid w:val="0F116B5A"/>
    <w:rsid w:val="0F6264A7"/>
    <w:rsid w:val="0F9223FC"/>
    <w:rsid w:val="0FAB68C5"/>
    <w:rsid w:val="0FB020F3"/>
    <w:rsid w:val="0FE81E2C"/>
    <w:rsid w:val="0FF93BD4"/>
    <w:rsid w:val="10BA7A9A"/>
    <w:rsid w:val="10E55ACF"/>
    <w:rsid w:val="111A451D"/>
    <w:rsid w:val="11436E75"/>
    <w:rsid w:val="11BE722A"/>
    <w:rsid w:val="11D348F2"/>
    <w:rsid w:val="11D673FE"/>
    <w:rsid w:val="11F030D8"/>
    <w:rsid w:val="120355A6"/>
    <w:rsid w:val="121E0F6C"/>
    <w:rsid w:val="123C273A"/>
    <w:rsid w:val="125C1586"/>
    <w:rsid w:val="132D0579"/>
    <w:rsid w:val="13B360A9"/>
    <w:rsid w:val="14206758"/>
    <w:rsid w:val="14264F69"/>
    <w:rsid w:val="14663C85"/>
    <w:rsid w:val="148A2BC7"/>
    <w:rsid w:val="14B24220"/>
    <w:rsid w:val="150E3EA3"/>
    <w:rsid w:val="15392139"/>
    <w:rsid w:val="156051A2"/>
    <w:rsid w:val="15652DAA"/>
    <w:rsid w:val="158A2D44"/>
    <w:rsid w:val="15922776"/>
    <w:rsid w:val="16066587"/>
    <w:rsid w:val="16122E84"/>
    <w:rsid w:val="162B4B2F"/>
    <w:rsid w:val="167875EF"/>
    <w:rsid w:val="16980A2A"/>
    <w:rsid w:val="16BD7A09"/>
    <w:rsid w:val="16FD38E6"/>
    <w:rsid w:val="172134D1"/>
    <w:rsid w:val="17316275"/>
    <w:rsid w:val="17715B75"/>
    <w:rsid w:val="179E4EFF"/>
    <w:rsid w:val="17C1658D"/>
    <w:rsid w:val="17DD256D"/>
    <w:rsid w:val="18207EC8"/>
    <w:rsid w:val="18572461"/>
    <w:rsid w:val="186D2598"/>
    <w:rsid w:val="18F10E12"/>
    <w:rsid w:val="19002698"/>
    <w:rsid w:val="1926420A"/>
    <w:rsid w:val="192E66E1"/>
    <w:rsid w:val="199A63DD"/>
    <w:rsid w:val="19DB6462"/>
    <w:rsid w:val="1A271363"/>
    <w:rsid w:val="1A881510"/>
    <w:rsid w:val="1AFA76DA"/>
    <w:rsid w:val="1B0F329D"/>
    <w:rsid w:val="1B1A5867"/>
    <w:rsid w:val="1B382C72"/>
    <w:rsid w:val="1B4755B0"/>
    <w:rsid w:val="1B6B6134"/>
    <w:rsid w:val="1BA32D12"/>
    <w:rsid w:val="1BAC0B6B"/>
    <w:rsid w:val="1BB446B9"/>
    <w:rsid w:val="1BE86387"/>
    <w:rsid w:val="1C0A3092"/>
    <w:rsid w:val="1C4B016F"/>
    <w:rsid w:val="1C80443B"/>
    <w:rsid w:val="1CA90AAF"/>
    <w:rsid w:val="1CB369A2"/>
    <w:rsid w:val="1D8420C5"/>
    <w:rsid w:val="1DF77AA7"/>
    <w:rsid w:val="1E146797"/>
    <w:rsid w:val="1E305D33"/>
    <w:rsid w:val="1E486B0B"/>
    <w:rsid w:val="1E796393"/>
    <w:rsid w:val="1E7D5094"/>
    <w:rsid w:val="1E8B7F21"/>
    <w:rsid w:val="1E9C25E5"/>
    <w:rsid w:val="1EA2602D"/>
    <w:rsid w:val="1EB0786E"/>
    <w:rsid w:val="1F8D0609"/>
    <w:rsid w:val="1FD22D92"/>
    <w:rsid w:val="1FDC4C51"/>
    <w:rsid w:val="1FE801E9"/>
    <w:rsid w:val="1FF35E35"/>
    <w:rsid w:val="20464C58"/>
    <w:rsid w:val="205674A7"/>
    <w:rsid w:val="20667DE2"/>
    <w:rsid w:val="208A6F6A"/>
    <w:rsid w:val="20A81561"/>
    <w:rsid w:val="20BB471F"/>
    <w:rsid w:val="21405B9D"/>
    <w:rsid w:val="21530189"/>
    <w:rsid w:val="217E219E"/>
    <w:rsid w:val="21B10A39"/>
    <w:rsid w:val="21B81C30"/>
    <w:rsid w:val="21BC739E"/>
    <w:rsid w:val="21C83ECE"/>
    <w:rsid w:val="21E464DA"/>
    <w:rsid w:val="220379D8"/>
    <w:rsid w:val="22AE7F72"/>
    <w:rsid w:val="22B32C21"/>
    <w:rsid w:val="22BB4077"/>
    <w:rsid w:val="22D075AD"/>
    <w:rsid w:val="23383A5C"/>
    <w:rsid w:val="23906366"/>
    <w:rsid w:val="23B107E7"/>
    <w:rsid w:val="23B27B4C"/>
    <w:rsid w:val="23CD3D7E"/>
    <w:rsid w:val="23DD3D37"/>
    <w:rsid w:val="23EC7071"/>
    <w:rsid w:val="24231158"/>
    <w:rsid w:val="24290AE3"/>
    <w:rsid w:val="242C3D36"/>
    <w:rsid w:val="24435E0A"/>
    <w:rsid w:val="246D6E11"/>
    <w:rsid w:val="24D71F01"/>
    <w:rsid w:val="24DC6388"/>
    <w:rsid w:val="24ED40A4"/>
    <w:rsid w:val="24FA56E8"/>
    <w:rsid w:val="2536069B"/>
    <w:rsid w:val="254F02CE"/>
    <w:rsid w:val="257504C6"/>
    <w:rsid w:val="2576592C"/>
    <w:rsid w:val="2579454A"/>
    <w:rsid w:val="25B32729"/>
    <w:rsid w:val="25CA65D2"/>
    <w:rsid w:val="26086AC6"/>
    <w:rsid w:val="26146634"/>
    <w:rsid w:val="262E4B1E"/>
    <w:rsid w:val="26490F70"/>
    <w:rsid w:val="26945630"/>
    <w:rsid w:val="26B306D1"/>
    <w:rsid w:val="26B560F4"/>
    <w:rsid w:val="26C72E54"/>
    <w:rsid w:val="2778644D"/>
    <w:rsid w:val="27832074"/>
    <w:rsid w:val="27BA6479"/>
    <w:rsid w:val="280A2F35"/>
    <w:rsid w:val="281E2AB5"/>
    <w:rsid w:val="28600DCC"/>
    <w:rsid w:val="28610A1A"/>
    <w:rsid w:val="289A6B28"/>
    <w:rsid w:val="28F04B5E"/>
    <w:rsid w:val="290723AC"/>
    <w:rsid w:val="293163E3"/>
    <w:rsid w:val="295F0B2D"/>
    <w:rsid w:val="2984116F"/>
    <w:rsid w:val="299F2D7A"/>
    <w:rsid w:val="29B34495"/>
    <w:rsid w:val="29BF2983"/>
    <w:rsid w:val="29C049B4"/>
    <w:rsid w:val="29D741B2"/>
    <w:rsid w:val="29D97CA1"/>
    <w:rsid w:val="2A0A42E6"/>
    <w:rsid w:val="2A5430F7"/>
    <w:rsid w:val="2AA67166"/>
    <w:rsid w:val="2ACB0EB9"/>
    <w:rsid w:val="2B047C41"/>
    <w:rsid w:val="2B536F21"/>
    <w:rsid w:val="2B873EF8"/>
    <w:rsid w:val="2B8C0380"/>
    <w:rsid w:val="2BA17CDC"/>
    <w:rsid w:val="2BBA1A67"/>
    <w:rsid w:val="2BCB3405"/>
    <w:rsid w:val="2BCD35E9"/>
    <w:rsid w:val="2BF40797"/>
    <w:rsid w:val="2C27608E"/>
    <w:rsid w:val="2C2E598B"/>
    <w:rsid w:val="2C3C2722"/>
    <w:rsid w:val="2C51752B"/>
    <w:rsid w:val="2CC304A9"/>
    <w:rsid w:val="2CD72E09"/>
    <w:rsid w:val="2CDC7438"/>
    <w:rsid w:val="2D2910A6"/>
    <w:rsid w:val="2D554203"/>
    <w:rsid w:val="2D6F33C4"/>
    <w:rsid w:val="2D845CE8"/>
    <w:rsid w:val="2DCE3686"/>
    <w:rsid w:val="2DD508BC"/>
    <w:rsid w:val="2DD97BC5"/>
    <w:rsid w:val="2E0F02B2"/>
    <w:rsid w:val="2E3C78F5"/>
    <w:rsid w:val="2E591811"/>
    <w:rsid w:val="2E5B7AB7"/>
    <w:rsid w:val="2E7867C9"/>
    <w:rsid w:val="2E79424B"/>
    <w:rsid w:val="2E976DAE"/>
    <w:rsid w:val="2E9F5E52"/>
    <w:rsid w:val="2ECD54C5"/>
    <w:rsid w:val="2F783D8C"/>
    <w:rsid w:val="2F9B2DEA"/>
    <w:rsid w:val="2FD7548C"/>
    <w:rsid w:val="2FE87441"/>
    <w:rsid w:val="2FF413E7"/>
    <w:rsid w:val="2FFB21C9"/>
    <w:rsid w:val="301E0463"/>
    <w:rsid w:val="303446B2"/>
    <w:rsid w:val="305D5042"/>
    <w:rsid w:val="309E3BD0"/>
    <w:rsid w:val="30E730CB"/>
    <w:rsid w:val="30F36EDD"/>
    <w:rsid w:val="30F82A10"/>
    <w:rsid w:val="31054E0A"/>
    <w:rsid w:val="31146204"/>
    <w:rsid w:val="316A7FFB"/>
    <w:rsid w:val="31A207F0"/>
    <w:rsid w:val="32135324"/>
    <w:rsid w:val="32412F57"/>
    <w:rsid w:val="327F2151"/>
    <w:rsid w:val="329A7031"/>
    <w:rsid w:val="32D14593"/>
    <w:rsid w:val="33162C3D"/>
    <w:rsid w:val="335A1372"/>
    <w:rsid w:val="337C4AB9"/>
    <w:rsid w:val="33827CD3"/>
    <w:rsid w:val="3387008D"/>
    <w:rsid w:val="33A806D0"/>
    <w:rsid w:val="33BB24DA"/>
    <w:rsid w:val="33CB64C0"/>
    <w:rsid w:val="33E712BD"/>
    <w:rsid w:val="33F93952"/>
    <w:rsid w:val="33FA3A87"/>
    <w:rsid w:val="33FC0085"/>
    <w:rsid w:val="34221E92"/>
    <w:rsid w:val="34591CB0"/>
    <w:rsid w:val="346202B8"/>
    <w:rsid w:val="34766305"/>
    <w:rsid w:val="34E31682"/>
    <w:rsid w:val="34EA1CA9"/>
    <w:rsid w:val="35323CCC"/>
    <w:rsid w:val="356C4F47"/>
    <w:rsid w:val="359B21D9"/>
    <w:rsid w:val="36066BAA"/>
    <w:rsid w:val="360B4637"/>
    <w:rsid w:val="362D57BE"/>
    <w:rsid w:val="36574750"/>
    <w:rsid w:val="36975CF7"/>
    <w:rsid w:val="36E800CE"/>
    <w:rsid w:val="37215F74"/>
    <w:rsid w:val="3725522E"/>
    <w:rsid w:val="374F753C"/>
    <w:rsid w:val="375458D3"/>
    <w:rsid w:val="377266E1"/>
    <w:rsid w:val="37CD046D"/>
    <w:rsid w:val="37FC2E67"/>
    <w:rsid w:val="38170738"/>
    <w:rsid w:val="38247DFB"/>
    <w:rsid w:val="384211BB"/>
    <w:rsid w:val="386716FF"/>
    <w:rsid w:val="387B55F6"/>
    <w:rsid w:val="389272E0"/>
    <w:rsid w:val="38B35778"/>
    <w:rsid w:val="38BB5007"/>
    <w:rsid w:val="38CB2E2A"/>
    <w:rsid w:val="38CC32A3"/>
    <w:rsid w:val="38FB7279"/>
    <w:rsid w:val="39006B4A"/>
    <w:rsid w:val="392D2653"/>
    <w:rsid w:val="39386D6D"/>
    <w:rsid w:val="39424B74"/>
    <w:rsid w:val="395F051D"/>
    <w:rsid w:val="39E470D7"/>
    <w:rsid w:val="39E954BD"/>
    <w:rsid w:val="3A2D4EE5"/>
    <w:rsid w:val="3A766678"/>
    <w:rsid w:val="3A7A287E"/>
    <w:rsid w:val="3A806962"/>
    <w:rsid w:val="3AA32BD7"/>
    <w:rsid w:val="3ACF690F"/>
    <w:rsid w:val="3AD372F6"/>
    <w:rsid w:val="3AE21C51"/>
    <w:rsid w:val="3AEA1FB6"/>
    <w:rsid w:val="3BA373A8"/>
    <w:rsid w:val="3BB93A61"/>
    <w:rsid w:val="3BBA39C2"/>
    <w:rsid w:val="3BDF59BB"/>
    <w:rsid w:val="3BEF200B"/>
    <w:rsid w:val="3C09602C"/>
    <w:rsid w:val="3C287D1B"/>
    <w:rsid w:val="3C5500C5"/>
    <w:rsid w:val="3C5916E2"/>
    <w:rsid w:val="3C786581"/>
    <w:rsid w:val="3C893E03"/>
    <w:rsid w:val="3C9153BA"/>
    <w:rsid w:val="3CBE5BE4"/>
    <w:rsid w:val="3CBF66BA"/>
    <w:rsid w:val="3CD44BD2"/>
    <w:rsid w:val="3D326D7A"/>
    <w:rsid w:val="3D3C3272"/>
    <w:rsid w:val="3D5E22F7"/>
    <w:rsid w:val="3DB52847"/>
    <w:rsid w:val="3DB73ABE"/>
    <w:rsid w:val="3DEA1701"/>
    <w:rsid w:val="3DEC0025"/>
    <w:rsid w:val="3DEC0B66"/>
    <w:rsid w:val="3E0848FF"/>
    <w:rsid w:val="3E0F3349"/>
    <w:rsid w:val="3E0F6C00"/>
    <w:rsid w:val="3E167EC8"/>
    <w:rsid w:val="3E177435"/>
    <w:rsid w:val="3E2B5513"/>
    <w:rsid w:val="3E3736AD"/>
    <w:rsid w:val="3E5A3EDC"/>
    <w:rsid w:val="3EE46F49"/>
    <w:rsid w:val="3EF66D45"/>
    <w:rsid w:val="3F0739FF"/>
    <w:rsid w:val="3F60143E"/>
    <w:rsid w:val="400C38A3"/>
    <w:rsid w:val="40107C47"/>
    <w:rsid w:val="40657668"/>
    <w:rsid w:val="409B67FE"/>
    <w:rsid w:val="409C0254"/>
    <w:rsid w:val="40C6411E"/>
    <w:rsid w:val="410A2F24"/>
    <w:rsid w:val="41251352"/>
    <w:rsid w:val="41C602F5"/>
    <w:rsid w:val="41C85FE0"/>
    <w:rsid w:val="41D8462D"/>
    <w:rsid w:val="42381F0B"/>
    <w:rsid w:val="4247207A"/>
    <w:rsid w:val="4260438F"/>
    <w:rsid w:val="427B7FC1"/>
    <w:rsid w:val="427D0A83"/>
    <w:rsid w:val="42B84786"/>
    <w:rsid w:val="42C81F25"/>
    <w:rsid w:val="430E0591"/>
    <w:rsid w:val="43812C74"/>
    <w:rsid w:val="43831666"/>
    <w:rsid w:val="438F038F"/>
    <w:rsid w:val="43A74BCB"/>
    <w:rsid w:val="43E73B41"/>
    <w:rsid w:val="43ED4DDE"/>
    <w:rsid w:val="43EE32E6"/>
    <w:rsid w:val="43F93346"/>
    <w:rsid w:val="444A10E0"/>
    <w:rsid w:val="444D487C"/>
    <w:rsid w:val="445517BA"/>
    <w:rsid w:val="450131E5"/>
    <w:rsid w:val="451942DD"/>
    <w:rsid w:val="45236551"/>
    <w:rsid w:val="452573B0"/>
    <w:rsid w:val="4531446C"/>
    <w:rsid w:val="45A32BCF"/>
    <w:rsid w:val="45A44DCD"/>
    <w:rsid w:val="45B05AD1"/>
    <w:rsid w:val="45DE30FC"/>
    <w:rsid w:val="45E03C8D"/>
    <w:rsid w:val="46064560"/>
    <w:rsid w:val="462E5EEB"/>
    <w:rsid w:val="4646145F"/>
    <w:rsid w:val="46503A49"/>
    <w:rsid w:val="46613824"/>
    <w:rsid w:val="466325D2"/>
    <w:rsid w:val="468D378C"/>
    <w:rsid w:val="46A26BC0"/>
    <w:rsid w:val="46AC242C"/>
    <w:rsid w:val="472D4CF6"/>
    <w:rsid w:val="476A3C1A"/>
    <w:rsid w:val="4770302A"/>
    <w:rsid w:val="47740445"/>
    <w:rsid w:val="47C0041A"/>
    <w:rsid w:val="47D45C9A"/>
    <w:rsid w:val="47E94B05"/>
    <w:rsid w:val="47F36945"/>
    <w:rsid w:val="47F63440"/>
    <w:rsid w:val="484740A8"/>
    <w:rsid w:val="48734BE1"/>
    <w:rsid w:val="487D3F41"/>
    <w:rsid w:val="48A87B94"/>
    <w:rsid w:val="48C30799"/>
    <w:rsid w:val="48CA60B4"/>
    <w:rsid w:val="48EC13B2"/>
    <w:rsid w:val="48F26E1F"/>
    <w:rsid w:val="48FF1AD9"/>
    <w:rsid w:val="49561C1C"/>
    <w:rsid w:val="495A5F98"/>
    <w:rsid w:val="49796A18"/>
    <w:rsid w:val="497A2F9B"/>
    <w:rsid w:val="49D822B4"/>
    <w:rsid w:val="49DA6DFC"/>
    <w:rsid w:val="49DE36B2"/>
    <w:rsid w:val="4A1A78ED"/>
    <w:rsid w:val="4A2D4D4F"/>
    <w:rsid w:val="4A917848"/>
    <w:rsid w:val="4AAA0106"/>
    <w:rsid w:val="4AB1581B"/>
    <w:rsid w:val="4ACC6BB3"/>
    <w:rsid w:val="4ACD77C9"/>
    <w:rsid w:val="4AF26284"/>
    <w:rsid w:val="4B1D5AB5"/>
    <w:rsid w:val="4BEA3E95"/>
    <w:rsid w:val="4C00513D"/>
    <w:rsid w:val="4C025383"/>
    <w:rsid w:val="4C0435AC"/>
    <w:rsid w:val="4C426A60"/>
    <w:rsid w:val="4C4F7949"/>
    <w:rsid w:val="4C875326"/>
    <w:rsid w:val="4C88415F"/>
    <w:rsid w:val="4C892DD7"/>
    <w:rsid w:val="4C992DAF"/>
    <w:rsid w:val="4C9B567F"/>
    <w:rsid w:val="4CC1157E"/>
    <w:rsid w:val="4CD90D2F"/>
    <w:rsid w:val="4D9200E8"/>
    <w:rsid w:val="4D95683A"/>
    <w:rsid w:val="4DA6150B"/>
    <w:rsid w:val="4DBF3E19"/>
    <w:rsid w:val="4DDC2168"/>
    <w:rsid w:val="4E0C2E9B"/>
    <w:rsid w:val="4E3532F4"/>
    <w:rsid w:val="4E781A75"/>
    <w:rsid w:val="4EAC4098"/>
    <w:rsid w:val="4EE05822"/>
    <w:rsid w:val="4EF7020E"/>
    <w:rsid w:val="4F4727FE"/>
    <w:rsid w:val="4F73505B"/>
    <w:rsid w:val="4F856C7E"/>
    <w:rsid w:val="4F8C5E9D"/>
    <w:rsid w:val="4FCE2830"/>
    <w:rsid w:val="4FD47FCA"/>
    <w:rsid w:val="50025A88"/>
    <w:rsid w:val="504C026E"/>
    <w:rsid w:val="506A0CDB"/>
    <w:rsid w:val="507A5BD7"/>
    <w:rsid w:val="509A584B"/>
    <w:rsid w:val="50A61790"/>
    <w:rsid w:val="50B61FEE"/>
    <w:rsid w:val="50BA2C10"/>
    <w:rsid w:val="50BE4C74"/>
    <w:rsid w:val="50CB7791"/>
    <w:rsid w:val="50E53426"/>
    <w:rsid w:val="511542C8"/>
    <w:rsid w:val="51267C4C"/>
    <w:rsid w:val="513E0CC7"/>
    <w:rsid w:val="51AA5AFB"/>
    <w:rsid w:val="51BC27B0"/>
    <w:rsid w:val="51DC754F"/>
    <w:rsid w:val="522E7E35"/>
    <w:rsid w:val="522F1165"/>
    <w:rsid w:val="524312B9"/>
    <w:rsid w:val="5260139D"/>
    <w:rsid w:val="526A60C9"/>
    <w:rsid w:val="52A6080A"/>
    <w:rsid w:val="52DE3525"/>
    <w:rsid w:val="52F37A7E"/>
    <w:rsid w:val="532605FE"/>
    <w:rsid w:val="534013D3"/>
    <w:rsid w:val="537B2198"/>
    <w:rsid w:val="53982CB5"/>
    <w:rsid w:val="53C1594C"/>
    <w:rsid w:val="541B7A0B"/>
    <w:rsid w:val="5469336C"/>
    <w:rsid w:val="5479567D"/>
    <w:rsid w:val="54817A81"/>
    <w:rsid w:val="54983006"/>
    <w:rsid w:val="54A57794"/>
    <w:rsid w:val="54CD26DC"/>
    <w:rsid w:val="55100F3D"/>
    <w:rsid w:val="5521466C"/>
    <w:rsid w:val="553C3366"/>
    <w:rsid w:val="55732CF6"/>
    <w:rsid w:val="55A92695"/>
    <w:rsid w:val="560D3B4E"/>
    <w:rsid w:val="564B1F53"/>
    <w:rsid w:val="564D66AA"/>
    <w:rsid w:val="56B21768"/>
    <w:rsid w:val="56E94652"/>
    <w:rsid w:val="57030BD5"/>
    <w:rsid w:val="572B611B"/>
    <w:rsid w:val="576176AA"/>
    <w:rsid w:val="57645A2E"/>
    <w:rsid w:val="57762E8E"/>
    <w:rsid w:val="578B3880"/>
    <w:rsid w:val="57C434B7"/>
    <w:rsid w:val="57CA1416"/>
    <w:rsid w:val="57E84B4C"/>
    <w:rsid w:val="586F66D6"/>
    <w:rsid w:val="58742C84"/>
    <w:rsid w:val="58A65354"/>
    <w:rsid w:val="58C55ADB"/>
    <w:rsid w:val="58C8623B"/>
    <w:rsid w:val="591536C1"/>
    <w:rsid w:val="597634BC"/>
    <w:rsid w:val="5A1769F2"/>
    <w:rsid w:val="5A79179C"/>
    <w:rsid w:val="5A7D380F"/>
    <w:rsid w:val="5AB86FE7"/>
    <w:rsid w:val="5AC66451"/>
    <w:rsid w:val="5ACC69B8"/>
    <w:rsid w:val="5AD173B5"/>
    <w:rsid w:val="5AF36658"/>
    <w:rsid w:val="5AFE4C96"/>
    <w:rsid w:val="5B730F17"/>
    <w:rsid w:val="5B7B1236"/>
    <w:rsid w:val="5B957F1C"/>
    <w:rsid w:val="5BA11BE8"/>
    <w:rsid w:val="5BB43102"/>
    <w:rsid w:val="5BBB130B"/>
    <w:rsid w:val="5BD55C6A"/>
    <w:rsid w:val="5C1E2AAE"/>
    <w:rsid w:val="5C744E01"/>
    <w:rsid w:val="5CD535D0"/>
    <w:rsid w:val="5CD652DB"/>
    <w:rsid w:val="5CEE06DF"/>
    <w:rsid w:val="5CF8187F"/>
    <w:rsid w:val="5D063D96"/>
    <w:rsid w:val="5D5D0C42"/>
    <w:rsid w:val="5DA62130"/>
    <w:rsid w:val="5DAF2A40"/>
    <w:rsid w:val="5DEA0B28"/>
    <w:rsid w:val="5E187442"/>
    <w:rsid w:val="5E443BCE"/>
    <w:rsid w:val="5E6214C3"/>
    <w:rsid w:val="5E674F7A"/>
    <w:rsid w:val="5E714CB3"/>
    <w:rsid w:val="5E791178"/>
    <w:rsid w:val="5EAF150A"/>
    <w:rsid w:val="5FA84DEE"/>
    <w:rsid w:val="5FB44AA0"/>
    <w:rsid w:val="600D28FE"/>
    <w:rsid w:val="60437FB3"/>
    <w:rsid w:val="60642034"/>
    <w:rsid w:val="60733F65"/>
    <w:rsid w:val="607D18D9"/>
    <w:rsid w:val="607F0290"/>
    <w:rsid w:val="60BB71C0"/>
    <w:rsid w:val="60F802B5"/>
    <w:rsid w:val="610D745B"/>
    <w:rsid w:val="612620F2"/>
    <w:rsid w:val="61396955"/>
    <w:rsid w:val="61494699"/>
    <w:rsid w:val="61A93DCC"/>
    <w:rsid w:val="61B53912"/>
    <w:rsid w:val="61EE6E14"/>
    <w:rsid w:val="61F93E33"/>
    <w:rsid w:val="62030149"/>
    <w:rsid w:val="623A2FE4"/>
    <w:rsid w:val="623B2665"/>
    <w:rsid w:val="623B6840"/>
    <w:rsid w:val="62425DF2"/>
    <w:rsid w:val="62731D94"/>
    <w:rsid w:val="629946DD"/>
    <w:rsid w:val="62BE22D8"/>
    <w:rsid w:val="62C06CBF"/>
    <w:rsid w:val="62C4244E"/>
    <w:rsid w:val="62E21E31"/>
    <w:rsid w:val="632415B7"/>
    <w:rsid w:val="63433210"/>
    <w:rsid w:val="63ED5D7D"/>
    <w:rsid w:val="63F31931"/>
    <w:rsid w:val="63FB5B09"/>
    <w:rsid w:val="64A01153"/>
    <w:rsid w:val="64AA5A0F"/>
    <w:rsid w:val="65145F61"/>
    <w:rsid w:val="652F62B2"/>
    <w:rsid w:val="65314CDC"/>
    <w:rsid w:val="65834E5D"/>
    <w:rsid w:val="65C73CC9"/>
    <w:rsid w:val="65EF28CF"/>
    <w:rsid w:val="660261FB"/>
    <w:rsid w:val="66661AB5"/>
    <w:rsid w:val="66CB3339"/>
    <w:rsid w:val="6701538B"/>
    <w:rsid w:val="674C3C22"/>
    <w:rsid w:val="6767609D"/>
    <w:rsid w:val="67815161"/>
    <w:rsid w:val="679C2A4F"/>
    <w:rsid w:val="67B4299D"/>
    <w:rsid w:val="67BF75F1"/>
    <w:rsid w:val="685B2144"/>
    <w:rsid w:val="68926CF0"/>
    <w:rsid w:val="689C7DC4"/>
    <w:rsid w:val="68BD4138"/>
    <w:rsid w:val="69253E50"/>
    <w:rsid w:val="69367DF4"/>
    <w:rsid w:val="695F2CF2"/>
    <w:rsid w:val="697111FB"/>
    <w:rsid w:val="69771617"/>
    <w:rsid w:val="69B226F6"/>
    <w:rsid w:val="69C95392"/>
    <w:rsid w:val="69E74FC7"/>
    <w:rsid w:val="69EF255B"/>
    <w:rsid w:val="6A061A21"/>
    <w:rsid w:val="6A691709"/>
    <w:rsid w:val="6A8F179C"/>
    <w:rsid w:val="6AD91623"/>
    <w:rsid w:val="6AF7208C"/>
    <w:rsid w:val="6B2D5466"/>
    <w:rsid w:val="6B3D672B"/>
    <w:rsid w:val="6B540EFE"/>
    <w:rsid w:val="6B7B4240"/>
    <w:rsid w:val="6B9A4A30"/>
    <w:rsid w:val="6BE95A5E"/>
    <w:rsid w:val="6C256C69"/>
    <w:rsid w:val="6C3D7821"/>
    <w:rsid w:val="6C3F2A33"/>
    <w:rsid w:val="6C9D2124"/>
    <w:rsid w:val="6CC23729"/>
    <w:rsid w:val="6CC64B8A"/>
    <w:rsid w:val="6D0A5A49"/>
    <w:rsid w:val="6D1850BC"/>
    <w:rsid w:val="6D3B484F"/>
    <w:rsid w:val="6D4908D6"/>
    <w:rsid w:val="6DDC1DC1"/>
    <w:rsid w:val="6E5F3E90"/>
    <w:rsid w:val="6E794BCD"/>
    <w:rsid w:val="6EF533F0"/>
    <w:rsid w:val="6EF80849"/>
    <w:rsid w:val="6EFB4DCB"/>
    <w:rsid w:val="6F27077B"/>
    <w:rsid w:val="6F594D6F"/>
    <w:rsid w:val="6F7121F2"/>
    <w:rsid w:val="6F9D0191"/>
    <w:rsid w:val="6FBA3F1E"/>
    <w:rsid w:val="6FCA5F9A"/>
    <w:rsid w:val="70932BCA"/>
    <w:rsid w:val="70B0102E"/>
    <w:rsid w:val="70C32DB5"/>
    <w:rsid w:val="710B0B0B"/>
    <w:rsid w:val="712C7DC8"/>
    <w:rsid w:val="715D0235"/>
    <w:rsid w:val="71E5266B"/>
    <w:rsid w:val="71F50096"/>
    <w:rsid w:val="72061303"/>
    <w:rsid w:val="723F5D8C"/>
    <w:rsid w:val="7265643D"/>
    <w:rsid w:val="72ED674C"/>
    <w:rsid w:val="730E5927"/>
    <w:rsid w:val="731D3349"/>
    <w:rsid w:val="732F6C8F"/>
    <w:rsid w:val="73352933"/>
    <w:rsid w:val="73607959"/>
    <w:rsid w:val="73777ED7"/>
    <w:rsid w:val="738058E6"/>
    <w:rsid w:val="73A90ADD"/>
    <w:rsid w:val="73AF3723"/>
    <w:rsid w:val="73B16F51"/>
    <w:rsid w:val="73E8789D"/>
    <w:rsid w:val="740238DF"/>
    <w:rsid w:val="74163E96"/>
    <w:rsid w:val="74304C66"/>
    <w:rsid w:val="74501460"/>
    <w:rsid w:val="745B3729"/>
    <w:rsid w:val="747E452E"/>
    <w:rsid w:val="74B10200"/>
    <w:rsid w:val="74C2049A"/>
    <w:rsid w:val="74E853F8"/>
    <w:rsid w:val="75055A8C"/>
    <w:rsid w:val="75347801"/>
    <w:rsid w:val="753D0A8A"/>
    <w:rsid w:val="75DF62EF"/>
    <w:rsid w:val="75E82BF4"/>
    <w:rsid w:val="75FC15F6"/>
    <w:rsid w:val="763428FA"/>
    <w:rsid w:val="769A1F19"/>
    <w:rsid w:val="76AB59C6"/>
    <w:rsid w:val="76BA3D28"/>
    <w:rsid w:val="76D0644A"/>
    <w:rsid w:val="76D8067A"/>
    <w:rsid w:val="76F57F2D"/>
    <w:rsid w:val="778B1DFE"/>
    <w:rsid w:val="77A67671"/>
    <w:rsid w:val="77EF5945"/>
    <w:rsid w:val="781E3C67"/>
    <w:rsid w:val="78477109"/>
    <w:rsid w:val="785617B5"/>
    <w:rsid w:val="785B66B6"/>
    <w:rsid w:val="785D6E29"/>
    <w:rsid w:val="78715A71"/>
    <w:rsid w:val="789A158E"/>
    <w:rsid w:val="79176484"/>
    <w:rsid w:val="7923202E"/>
    <w:rsid w:val="79EC64F6"/>
    <w:rsid w:val="7A48271D"/>
    <w:rsid w:val="7A5B6AA6"/>
    <w:rsid w:val="7B042830"/>
    <w:rsid w:val="7B101B78"/>
    <w:rsid w:val="7B3479E1"/>
    <w:rsid w:val="7B36534B"/>
    <w:rsid w:val="7BAD2677"/>
    <w:rsid w:val="7BD060AF"/>
    <w:rsid w:val="7BD2370A"/>
    <w:rsid w:val="7BE42039"/>
    <w:rsid w:val="7C086264"/>
    <w:rsid w:val="7C5F755C"/>
    <w:rsid w:val="7C7278F9"/>
    <w:rsid w:val="7CC17885"/>
    <w:rsid w:val="7CC25006"/>
    <w:rsid w:val="7CC5559B"/>
    <w:rsid w:val="7D3038A0"/>
    <w:rsid w:val="7D3E77E5"/>
    <w:rsid w:val="7D6971CA"/>
    <w:rsid w:val="7DF37B69"/>
    <w:rsid w:val="7E2754D8"/>
    <w:rsid w:val="7E386003"/>
    <w:rsid w:val="7E7913CA"/>
    <w:rsid w:val="7E836A29"/>
    <w:rsid w:val="7EA5622C"/>
    <w:rsid w:val="7EAE0A66"/>
    <w:rsid w:val="7EDD453B"/>
    <w:rsid w:val="7EFB629F"/>
    <w:rsid w:val="7F461144"/>
    <w:rsid w:val="7F5E0E5D"/>
    <w:rsid w:val="7FBF15DE"/>
    <w:rsid w:val="7FC42D2E"/>
    <w:rsid w:val="7FE1722B"/>
    <w:rsid w:val="7FF037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正文文本 Char"/>
    <w:link w:val="2"/>
    <w:qFormat/>
    <w:uiPriority w:val="1"/>
    <w:rPr>
      <w:rFonts w:ascii="宋体" w:hAnsi="Times New Roman" w:eastAsia="宋体" w:cs="宋体"/>
      <w:kern w:val="0"/>
      <w:szCs w:val="21"/>
    </w:rPr>
  </w:style>
  <w:style w:type="character" w:customStyle="1" w:styleId="22">
    <w:name w:val="标题 1 Char"/>
    <w:link w:val="3"/>
    <w:qFormat/>
    <w:uiPriority w:val="1"/>
    <w:rPr>
      <w:rFonts w:ascii="黑体" w:hAnsi="Times New Roman" w:eastAsia="黑体" w:cs="黑体"/>
      <w:b/>
      <w:bCs/>
      <w:kern w:val="0"/>
      <w:sz w:val="36"/>
      <w:szCs w:val="36"/>
    </w:rPr>
  </w:style>
  <w:style w:type="character" w:customStyle="1" w:styleId="23">
    <w:name w:val="标题 2 Char"/>
    <w:link w:val="4"/>
    <w:qFormat/>
    <w:uiPriority w:val="9"/>
    <w:rPr>
      <w:rFonts w:ascii="Cambria" w:hAnsi="Cambria" w:eastAsia="宋体" w:cs="Times New Roman"/>
      <w:b/>
      <w:bCs/>
      <w:sz w:val="32"/>
      <w:szCs w:val="32"/>
    </w:rPr>
  </w:style>
  <w:style w:type="character" w:customStyle="1" w:styleId="24">
    <w:name w:val="标题 3 Char"/>
    <w:link w:val="5"/>
    <w:qFormat/>
    <w:uiPriority w:val="1"/>
    <w:rPr>
      <w:rFonts w:ascii="宋体" w:hAnsi="Times New Roman" w:eastAsia="宋体" w:cs="宋体"/>
      <w:b/>
      <w:bCs/>
      <w:kern w:val="0"/>
      <w:szCs w:val="21"/>
    </w:rPr>
  </w:style>
  <w:style w:type="character" w:customStyle="1" w:styleId="25">
    <w:name w:val="批注文字 Char"/>
    <w:link w:val="6"/>
    <w:qFormat/>
    <w:uiPriority w:val="99"/>
    <w:rPr>
      <w:kern w:val="2"/>
      <w:sz w:val="21"/>
      <w:szCs w:val="22"/>
    </w:rPr>
  </w:style>
  <w:style w:type="character" w:customStyle="1" w:styleId="26">
    <w:name w:val="日期 Char"/>
    <w:basedOn w:val="16"/>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_Style 34"/>
    <w:semiHidden/>
    <w:qFormat/>
    <w:uiPriority w:val="99"/>
    <w:rPr>
      <w:rFonts w:ascii="Times New Roman" w:hAnsi="Times New Roman" w:eastAsia="宋体" w:cs="Times New Roman"/>
      <w:kern w:val="2"/>
      <w:sz w:val="21"/>
      <w:szCs w:val="22"/>
      <w:lang w:val="en-US" w:eastAsia="zh-CN" w:bidi="ar-SA"/>
    </w:rPr>
  </w:style>
  <w:style w:type="character" w:customStyle="1" w:styleId="36">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14454</Words>
  <Characters>15042</Characters>
  <Lines>235</Lines>
  <Paragraphs>66</Paragraphs>
  <TotalTime>17</TotalTime>
  <ScaleCrop>false</ScaleCrop>
  <LinksUpToDate>false</LinksUpToDate>
  <CharactersWithSpaces>15042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2021-07-03T12:43:00Z</dcterms:created>
  <dc:creator>JSYH</dc:creator>
  <cp:lastModifiedBy>jsyh</cp:lastModifiedBy>
  <cp:lastPrinted>2022-07-26T07:00:00Z</cp:lastPrinted>
  <dcterms:modified xsi:type="dcterms:W3CDTF">2026-03-04T09:40:21Z</dcterms:modified>
  <cp:revision>1651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FACB7CEFB6984AAFA2F7310B22E4351B</vt:lpwstr>
  </property>
</Properties>
</file>